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1.4 — NB2 CQTD SUPPORT: Program Repair, Debugging, and Automated Correction</w:t>
      </w:r>
    </w:p>
    <w:p>
      <w:r>
        <w:t>Source-control note: all findings below were extracted from the in-scope SUPPORT PDFs and checked against NB2_CQTD_Support.bib before drafting. Quality tiers are preserved from Phase 0.2 and not reclassified.</w:t>
      </w:r>
    </w:p>
    <w:p>
      <w:pPr>
        <w:pStyle w:val="Heading1"/>
      </w:pPr>
      <w:r>
        <w:t>1. Evidence matrix</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fill="D9EAF7"/>
            <w:vAlign w:val="top"/>
          </w:tcPr>
          <w:p>
            <w:r/>
            <w:r>
              <w:rPr>
                <w:b/>
                <w:sz w:val="16"/>
              </w:rPr>
              <w:t>Bibkey</w:t>
            </w:r>
          </w:p>
        </w:tc>
        <w:tc>
          <w:tcPr>
            <w:tcW w:type="dxa" w:w="1522"/>
            <w:shd w:fill="D9EAF7"/>
            <w:vAlign w:val="top"/>
          </w:tcPr>
          <w:p>
            <w:r/>
            <w:r>
              <w:rPr>
                <w:b/>
                <w:sz w:val="16"/>
              </w:rPr>
              <w:t>Year</w:t>
            </w:r>
          </w:p>
        </w:tc>
        <w:tc>
          <w:tcPr>
            <w:tcW w:type="dxa" w:w="1522"/>
            <w:shd w:fill="D9EAF7"/>
            <w:vAlign w:val="top"/>
          </w:tcPr>
          <w:p>
            <w:r/>
            <w:r>
              <w:rPr>
                <w:b/>
                <w:sz w:val="16"/>
              </w:rPr>
              <w:t>Quality tier</w:t>
            </w:r>
          </w:p>
        </w:tc>
        <w:tc>
          <w:tcPr>
            <w:tcW w:type="dxa" w:w="1522"/>
            <w:shd w:fill="D9EAF7"/>
            <w:vAlign w:val="top"/>
          </w:tcPr>
          <w:p>
            <w:r/>
            <w:r>
              <w:rPr>
                <w:b/>
                <w:sz w:val="16"/>
              </w:rPr>
              <w:t>Key finding</w:t>
            </w:r>
          </w:p>
        </w:tc>
        <w:tc>
          <w:tcPr>
            <w:tcW w:type="dxa" w:w="1522"/>
            <w:shd w:fill="D9EAF7"/>
            <w:vAlign w:val="top"/>
          </w:tcPr>
          <w:p>
            <w:r/>
            <w:r>
              <w:rPr>
                <w:b/>
                <w:sz w:val="16"/>
              </w:rPr>
              <w:t>Metric/value (repair rate, pass@k, improvement %)</w:t>
            </w:r>
          </w:p>
        </w:tc>
        <w:tc>
          <w:tcPr>
            <w:tcW w:type="dxa" w:w="1522"/>
            <w:shd w:fill="D9EAF7"/>
            <w:vAlign w:val="top"/>
          </w:tcPr>
          <w:p>
            <w:r/>
            <w:r>
              <w:rPr>
                <w:b/>
                <w:sz w:val="16"/>
              </w:rPr>
              <w:t>Repair approach</w:t>
            </w:r>
          </w:p>
        </w:tc>
        <w:tc>
          <w:tcPr>
            <w:tcW w:type="dxa" w:w="1522"/>
            <w:shd w:fill="D9EAF7"/>
            <w:vAlign w:val="top"/>
          </w:tcPr>
          <w:p>
            <w:r/>
            <w:r>
              <w:rPr>
                <w:b/>
                <w:sz w:val="16"/>
              </w:rPr>
              <w:t>PDF section</w:t>
            </w:r>
          </w:p>
        </w:tc>
      </w:tr>
      <w:tr>
        <w:tc>
          <w:tcPr>
            <w:tcW w:type="dxa" w:w="1522"/>
            <w:vAlign w:val="top"/>
          </w:tcPr>
          <w:p>
            <w:r/>
            <w:r>
              <w:rPr>
                <w:b w:val="0"/>
                <w:sz w:val="16"/>
              </w:rPr>
              <w:t>zhang_critical_2023</w:t>
            </w:r>
          </w:p>
        </w:tc>
        <w:tc>
          <w:tcPr>
            <w:tcW w:type="dxa" w:w="1522"/>
            <w:vAlign w:val="top"/>
          </w:tcPr>
          <w:p>
            <w:r/>
            <w:r>
              <w:rPr>
                <w:b w:val="0"/>
                <w:sz w:val="16"/>
              </w:rPr>
              <w:t>2023</w:t>
            </w:r>
          </w:p>
        </w:tc>
        <w:tc>
          <w:tcPr>
            <w:tcW w:type="dxa" w:w="1522"/>
            <w:vAlign w:val="top"/>
          </w:tcPr>
          <w:p>
            <w:r/>
            <w:r>
              <w:rPr>
                <w:b w:val="0"/>
                <w:sz w:val="16"/>
              </w:rPr>
              <w:t>A2</w:t>
            </w:r>
          </w:p>
        </w:tc>
        <w:tc>
          <w:tcPr>
            <w:tcW w:type="dxa" w:w="1522"/>
            <w:vAlign w:val="top"/>
          </w:tcPr>
          <w:p>
            <w:r/>
            <w:r>
              <w:rPr>
                <w:b w:val="0"/>
                <w:sz w:val="16"/>
              </w:rPr>
              <w:t>ChatGPT repairs Defects4J bugs less effectively than specialised APR baselines, but its conversational repair interface can produce plausible patches and occasionally refine unsuccessful first attempts.</w:t>
            </w:r>
          </w:p>
        </w:tc>
        <w:tc>
          <w:tcPr>
            <w:tcW w:type="dxa" w:w="1522"/>
            <w:vAlign w:val="top"/>
          </w:tcPr>
          <w:p>
            <w:r/>
            <w:r>
              <w:rPr>
                <w:b w:val="0"/>
                <w:sz w:val="16"/>
              </w:rPr>
              <w:t>Defects4J repair outcomes reported around 27.5% and 62.4% depending on comparison setting; lower than strong APR baselines in the reviewed evaluation.</w:t>
            </w:r>
          </w:p>
        </w:tc>
        <w:tc>
          <w:tcPr>
            <w:tcW w:type="dxa" w:w="1522"/>
            <w:vAlign w:val="top"/>
          </w:tcPr>
          <w:p>
            <w:r/>
            <w:r>
              <w:rPr>
                <w:b w:val="0"/>
                <w:sz w:val="16"/>
              </w:rPr>
              <w:t>LLM-based APR, benchmark comparison</w:t>
            </w:r>
          </w:p>
        </w:tc>
        <w:tc>
          <w:tcPr>
            <w:tcW w:type="dxa" w:w="1522"/>
            <w:vAlign w:val="top"/>
          </w:tcPr>
          <w:p>
            <w:r/>
            <w:r>
              <w:rPr>
                <w:b w:val="0"/>
                <w:sz w:val="16"/>
              </w:rPr>
              <w:t>Results / RQ1-RQ3 / Discussion</w:t>
            </w:r>
          </w:p>
        </w:tc>
      </w:tr>
      <w:tr>
        <w:tc>
          <w:tcPr>
            <w:tcW w:type="dxa" w:w="1522"/>
            <w:vAlign w:val="top"/>
          </w:tcPr>
          <w:p>
            <w:r/>
            <w:r>
              <w:rPr>
                <w:b w:val="0"/>
                <w:sz w:val="16"/>
              </w:rPr>
              <w:t>liu_refining_2024</w:t>
            </w:r>
          </w:p>
        </w:tc>
        <w:tc>
          <w:tcPr>
            <w:tcW w:type="dxa" w:w="1522"/>
            <w:vAlign w:val="top"/>
          </w:tcPr>
          <w:p>
            <w:r/>
            <w:r>
              <w:rPr>
                <w:b w:val="0"/>
                <w:sz w:val="16"/>
              </w:rPr>
              <w:t>2024</w:t>
            </w:r>
          </w:p>
        </w:tc>
        <w:tc>
          <w:tcPr>
            <w:tcW w:type="dxa" w:w="1522"/>
            <w:vAlign w:val="top"/>
          </w:tcPr>
          <w:p>
            <w:r/>
            <w:r>
              <w:rPr>
                <w:b w:val="0"/>
                <w:sz w:val="16"/>
              </w:rPr>
              <w:t>A2</w:t>
            </w:r>
          </w:p>
        </w:tc>
        <w:tc>
          <w:tcPr>
            <w:tcW w:type="dxa" w:w="1522"/>
            <w:vAlign w:val="top"/>
          </w:tcPr>
          <w:p>
            <w:r/>
            <w:r>
              <w:rPr>
                <w:b w:val="0"/>
                <w:sz w:val="16"/>
              </w:rPr>
              <w:t>Quality-aware prompting and feedback can mitigate ChatGPT-generated code issues, but repairs remain uneven across correctness, maintainability, reliability, and security categories.</w:t>
            </w:r>
          </w:p>
        </w:tc>
        <w:tc>
          <w:tcPr>
            <w:tcW w:type="dxa" w:w="1522"/>
            <w:vAlign w:val="top"/>
          </w:tcPr>
          <w:p>
            <w:r/>
            <w:r>
              <w:rPr>
                <w:b w:val="0"/>
                <w:sz w:val="16"/>
              </w:rPr>
              <w:t>Reported quality issue rates include 20%, 66%, 69%, 53%, 37%, and 89% across analysed categories; pass@1 tables used to compare mitigation variants.</w:t>
            </w:r>
          </w:p>
        </w:tc>
        <w:tc>
          <w:tcPr>
            <w:tcW w:type="dxa" w:w="1522"/>
            <w:vAlign w:val="top"/>
          </w:tcPr>
          <w:p>
            <w:r/>
            <w:r>
              <w:rPr>
                <w:b w:val="0"/>
                <w:sz w:val="16"/>
              </w:rPr>
              <w:t>LLM-based iterative refinement with static-analysis and prompt feedback</w:t>
            </w:r>
          </w:p>
        </w:tc>
        <w:tc>
          <w:tcPr>
            <w:tcW w:type="dxa" w:w="1522"/>
            <w:vAlign w:val="top"/>
          </w:tcPr>
          <w:p>
            <w:r/>
            <w:r>
              <w:rPr>
                <w:b w:val="0"/>
                <w:sz w:val="16"/>
              </w:rPr>
              <w:t>RQ1-RQ3 / Evaluation / Results</w:t>
            </w:r>
          </w:p>
        </w:tc>
      </w:tr>
      <w:tr>
        <w:tc>
          <w:tcPr>
            <w:tcW w:type="dxa" w:w="1522"/>
            <w:vAlign w:val="top"/>
          </w:tcPr>
          <w:p>
            <w:r/>
            <w:r>
              <w:rPr>
                <w:b w:val="0"/>
                <w:sz w:val="16"/>
              </w:rPr>
              <w:t>ma_bloomapr_2025</w:t>
            </w:r>
          </w:p>
        </w:tc>
        <w:tc>
          <w:tcPr>
            <w:tcW w:type="dxa" w:w="1522"/>
            <w:vAlign w:val="top"/>
          </w:tcPr>
          <w:p>
            <w:r/>
            <w:r>
              <w:rPr>
                <w:b w:val="0"/>
                <w:sz w:val="16"/>
              </w:rPr>
              <w:t>2025</w:t>
            </w:r>
          </w:p>
        </w:tc>
        <w:tc>
          <w:tcPr>
            <w:tcW w:type="dxa" w:w="1522"/>
            <w:vAlign w:val="top"/>
          </w:tcPr>
          <w:p>
            <w:r/>
            <w:r>
              <w:rPr>
                <w:b w:val="0"/>
                <w:sz w:val="16"/>
              </w:rPr>
              <w:t>A2</w:t>
            </w:r>
          </w:p>
        </w:tc>
        <w:tc>
          <w:tcPr>
            <w:tcW w:type="dxa" w:w="1522"/>
            <w:vAlign w:val="top"/>
          </w:tcPr>
          <w:p>
            <w:r/>
            <w:r>
              <w:rPr>
                <w:b w:val="0"/>
                <w:sz w:val="16"/>
              </w:rPr>
              <w:t>BloomAPR shows that LLM-powered APR capability is stratified by cognitive demand: lower-level repair tasks are easier than analysis/evaluation-level repairs, and new bugs may be introduced.</w:t>
            </w:r>
          </w:p>
        </w:tc>
        <w:tc>
          <w:tcPr>
            <w:tcW w:type="dxa" w:w="1522"/>
            <w:vAlign w:val="top"/>
          </w:tcPr>
          <w:p>
            <w:r/>
            <w:r>
              <w:rPr>
                <w:b w:val="0"/>
                <w:sz w:val="16"/>
              </w:rPr>
              <w:t>Reported success figures include 81.57%, 60.66%, 43.32%, and 13.46% across Bloom-level repair categories; paper explicitly discusses overfitting and new-bug risks.</w:t>
            </w:r>
          </w:p>
        </w:tc>
        <w:tc>
          <w:tcPr>
            <w:tcW w:type="dxa" w:w="1522"/>
            <w:vAlign w:val="top"/>
          </w:tcPr>
          <w:p>
            <w:r/>
            <w:r>
              <w:rPr>
                <w:b w:val="0"/>
                <w:sz w:val="16"/>
              </w:rPr>
              <w:t>LLM-based APR assessment framework</w:t>
            </w:r>
          </w:p>
        </w:tc>
        <w:tc>
          <w:tcPr>
            <w:tcW w:type="dxa" w:w="1522"/>
            <w:vAlign w:val="top"/>
          </w:tcPr>
          <w:p>
            <w:r/>
            <w:r>
              <w:rPr>
                <w:b w:val="0"/>
                <w:sz w:val="16"/>
              </w:rPr>
              <w:t>Evaluation / Results / Discussion</w:t>
            </w:r>
          </w:p>
        </w:tc>
      </w:tr>
      <w:tr>
        <w:tc>
          <w:tcPr>
            <w:tcW w:type="dxa" w:w="1522"/>
            <w:vAlign w:val="top"/>
          </w:tcPr>
          <w:p>
            <w:r/>
            <w:r>
              <w:rPr>
                <w:b w:val="0"/>
                <w:sz w:val="16"/>
              </w:rPr>
              <w:t>zhao_peer-aided_2026</w:t>
            </w:r>
          </w:p>
        </w:tc>
        <w:tc>
          <w:tcPr>
            <w:tcW w:type="dxa" w:w="1522"/>
            <w:vAlign w:val="top"/>
          </w:tcPr>
          <w:p>
            <w:r/>
            <w:r>
              <w:rPr>
                <w:b w:val="0"/>
                <w:sz w:val="16"/>
              </w:rPr>
              <w:t>2026</w:t>
            </w:r>
          </w:p>
        </w:tc>
        <w:tc>
          <w:tcPr>
            <w:tcW w:type="dxa" w:w="1522"/>
            <w:vAlign w:val="top"/>
          </w:tcPr>
          <w:p>
            <w:r/>
            <w:r>
              <w:rPr>
                <w:b w:val="0"/>
                <w:sz w:val="16"/>
              </w:rPr>
              <w:t>A2</w:t>
            </w:r>
          </w:p>
        </w:tc>
        <w:tc>
          <w:tcPr>
            <w:tcW w:type="dxa" w:w="1522"/>
            <w:vAlign w:val="top"/>
          </w:tcPr>
          <w:p>
            <w:r/>
            <w:r>
              <w:rPr>
                <w:b w:val="0"/>
                <w:sz w:val="16"/>
              </w:rPr>
              <w:t>Peer-Aided Repairer improves repair of advanced student assignments by using peer solutions as external guidance, outperforming direct LLM repair in repair-rate and test-passing comparisons.</w:t>
            </w:r>
          </w:p>
        </w:tc>
        <w:tc>
          <w:tcPr>
            <w:tcW w:type="dxa" w:w="1522"/>
            <w:vAlign w:val="top"/>
          </w:tcPr>
          <w:p>
            <w:r/>
            <w:r>
              <w:rPr>
                <w:b w:val="0"/>
                <w:sz w:val="16"/>
              </w:rPr>
              <w:t>Abstract reports 19.94% repair-rate improvement and 15.2% reduction in compile errors; result tables report repair rates around 58.4%-72.4% depending on setting.</w:t>
            </w:r>
          </w:p>
        </w:tc>
        <w:tc>
          <w:tcPr>
            <w:tcW w:type="dxa" w:w="1522"/>
            <w:vAlign w:val="top"/>
          </w:tcPr>
          <w:p>
            <w:r/>
            <w:r>
              <w:rPr>
                <w:b w:val="0"/>
                <w:sz w:val="16"/>
              </w:rPr>
              <w:t>Hybrid LLM repair with peer-solution retrieval/feedback</w:t>
            </w:r>
          </w:p>
        </w:tc>
        <w:tc>
          <w:tcPr>
            <w:tcW w:type="dxa" w:w="1522"/>
            <w:vAlign w:val="top"/>
          </w:tcPr>
          <w:p>
            <w:r/>
            <w:r>
              <w:rPr>
                <w:b w:val="0"/>
                <w:sz w:val="16"/>
              </w:rPr>
              <w:t>Evaluation / RQ1-RQ3 / Results</w:t>
            </w:r>
          </w:p>
        </w:tc>
      </w:tr>
      <w:tr>
        <w:tc>
          <w:tcPr>
            <w:tcW w:type="dxa" w:w="1522"/>
            <w:vAlign w:val="top"/>
          </w:tcPr>
          <w:p>
            <w:r/>
            <w:r>
              <w:rPr>
                <w:b w:val="0"/>
                <w:sz w:val="16"/>
              </w:rPr>
              <w:t>yang_why_2025</w:t>
            </w:r>
          </w:p>
        </w:tc>
        <w:tc>
          <w:tcPr>
            <w:tcW w:type="dxa" w:w="1522"/>
            <w:vAlign w:val="top"/>
          </w:tcPr>
          <w:p>
            <w:r/>
            <w:r>
              <w:rPr>
                <w:b w:val="0"/>
                <w:sz w:val="16"/>
              </w:rPr>
              <w:t>2025</w:t>
            </w:r>
          </w:p>
        </w:tc>
        <w:tc>
          <w:tcPr>
            <w:tcW w:type="dxa" w:w="1522"/>
            <w:vAlign w:val="top"/>
          </w:tcPr>
          <w:p>
            <w:r/>
            <w:r>
              <w:rPr>
                <w:b w:val="0"/>
                <w:sz w:val="16"/>
              </w:rPr>
              <w:t>A2</w:t>
            </w:r>
          </w:p>
        </w:tc>
        <w:tc>
          <w:tcPr>
            <w:tcW w:type="dxa" w:w="1522"/>
            <w:vAlign w:val="top"/>
          </w:tcPr>
          <w:p>
            <w:r/>
            <w:r>
              <w:rPr>
                <w:b w:val="0"/>
                <w:sz w:val="16"/>
              </w:rPr>
              <w:t>Data-science debugging becomes substantially harder when errors are multi-hop or multi-bug rather than isolated, even when models can solve simpler single-error cases.</w:t>
            </w:r>
          </w:p>
        </w:tc>
        <w:tc>
          <w:tcPr>
            <w:tcW w:type="dxa" w:w="1522"/>
            <w:vAlign w:val="top"/>
          </w:tcPr>
          <w:p>
            <w:r/>
            <w:r>
              <w:rPr>
                <w:b w:val="0"/>
                <w:sz w:val="16"/>
              </w:rPr>
              <w:t>Benchmark reports strong single-error performance but sharp degradation for multi-hop/multi-bug settings; reported figures include 83%, 87%, 20%, 30%, and 100% in benchmark summaries.</w:t>
            </w:r>
          </w:p>
        </w:tc>
        <w:tc>
          <w:tcPr>
            <w:tcW w:type="dxa" w:w="1522"/>
            <w:vAlign w:val="top"/>
          </w:tcPr>
          <w:p>
            <w:r/>
            <w:r>
              <w:rPr>
                <w:b w:val="0"/>
                <w:sz w:val="16"/>
              </w:rPr>
              <w:t>LLM-based debugging benchmark</w:t>
            </w:r>
          </w:p>
        </w:tc>
        <w:tc>
          <w:tcPr>
            <w:tcW w:type="dxa" w:w="1522"/>
            <w:vAlign w:val="top"/>
          </w:tcPr>
          <w:p>
            <w:r/>
            <w:r>
              <w:rPr>
                <w:b w:val="0"/>
                <w:sz w:val="16"/>
              </w:rPr>
              <w:t>Evaluation / Results / multi-hop and multi-bug analysis</w:t>
            </w:r>
          </w:p>
        </w:tc>
      </w:tr>
      <w:tr>
        <w:tc>
          <w:tcPr>
            <w:tcW w:type="dxa" w:w="1522"/>
            <w:vAlign w:val="top"/>
          </w:tcPr>
          <w:p>
            <w:r/>
            <w:r>
              <w:rPr>
                <w:b w:val="0"/>
                <w:sz w:val="16"/>
              </w:rPr>
              <w:t>mou_can_2025</w:t>
            </w:r>
          </w:p>
        </w:tc>
        <w:tc>
          <w:tcPr>
            <w:tcW w:type="dxa" w:w="1522"/>
            <w:vAlign w:val="top"/>
          </w:tcPr>
          <w:p>
            <w:r/>
            <w:r>
              <w:rPr>
                <w:b w:val="0"/>
                <w:sz w:val="16"/>
              </w:rPr>
              <w:t>2025</w:t>
            </w:r>
          </w:p>
        </w:tc>
        <w:tc>
          <w:tcPr>
            <w:tcW w:type="dxa" w:w="1522"/>
            <w:vAlign w:val="top"/>
          </w:tcPr>
          <w:p>
            <w:r/>
            <w:r>
              <w:rPr>
                <w:b w:val="0"/>
                <w:sz w:val="16"/>
              </w:rPr>
              <w:t>A2</w:t>
            </w:r>
          </w:p>
        </w:tc>
        <w:tc>
          <w:tcPr>
            <w:tcW w:type="dxa" w:w="1522"/>
            <w:vAlign w:val="top"/>
          </w:tcPr>
          <w:p>
            <w:r/>
            <w:r>
              <w:rPr>
                <w:b w:val="0"/>
                <w:sz w:val="16"/>
              </w:rPr>
              <w:t>Security-oriented repair and defence are highly model- and prompt-dependent; models can identify or repair some vulnerable code but may still generate insecure outputs under security-sensitive prompts.</w:t>
            </w:r>
          </w:p>
        </w:tc>
        <w:tc>
          <w:tcPr>
            <w:tcW w:type="dxa" w:w="1522"/>
            <w:vAlign w:val="top"/>
          </w:tcPr>
          <w:p>
            <w:r/>
            <w:r>
              <w:rPr>
                <w:b w:val="0"/>
                <w:sz w:val="16"/>
              </w:rPr>
              <w:t>Reported percentages include 46.75%, 66.25%, 23.69%, 59.96%, 56.17%, and 68.21% across vulnerability-related evaluation tables.</w:t>
            </w:r>
          </w:p>
        </w:tc>
        <w:tc>
          <w:tcPr>
            <w:tcW w:type="dxa" w:w="1522"/>
            <w:vAlign w:val="top"/>
          </w:tcPr>
          <w:p>
            <w:r/>
            <w:r>
              <w:rPr>
                <w:b w:val="0"/>
                <w:sz w:val="16"/>
              </w:rPr>
              <w:t>LLM-based security repair and defence evaluation</w:t>
            </w:r>
          </w:p>
        </w:tc>
        <w:tc>
          <w:tcPr>
            <w:tcW w:type="dxa" w:w="1522"/>
            <w:vAlign w:val="top"/>
          </w:tcPr>
          <w:p>
            <w:r/>
            <w:r>
              <w:rPr>
                <w:b w:val="0"/>
                <w:sz w:val="16"/>
              </w:rPr>
              <w:t>Evaluation / Results / Discussion</w:t>
            </w:r>
          </w:p>
        </w:tc>
      </w:tr>
      <w:tr>
        <w:tc>
          <w:tcPr>
            <w:tcW w:type="dxa" w:w="1522"/>
            <w:vAlign w:val="top"/>
          </w:tcPr>
          <w:p>
            <w:r/>
            <w:r>
              <w:rPr>
                <w:b w:val="0"/>
                <w:sz w:val="16"/>
              </w:rPr>
              <w:t>dolcetti_helping_2026</w:t>
            </w:r>
          </w:p>
        </w:tc>
        <w:tc>
          <w:tcPr>
            <w:tcW w:type="dxa" w:w="1522"/>
            <w:vAlign w:val="top"/>
          </w:tcPr>
          <w:p>
            <w:r/>
            <w:r>
              <w:rPr>
                <w:b w:val="0"/>
                <w:sz w:val="16"/>
              </w:rPr>
              <w:t>2026</w:t>
            </w:r>
          </w:p>
        </w:tc>
        <w:tc>
          <w:tcPr>
            <w:tcW w:type="dxa" w:w="1522"/>
            <w:vAlign w:val="top"/>
          </w:tcPr>
          <w:p>
            <w:r/>
            <w:r>
              <w:rPr>
                <w:b w:val="0"/>
                <w:sz w:val="16"/>
              </w:rPr>
              <w:t>A2</w:t>
            </w:r>
          </w:p>
        </w:tc>
        <w:tc>
          <w:tcPr>
            <w:tcW w:type="dxa" w:w="1522"/>
            <w:vAlign w:val="top"/>
          </w:tcPr>
          <w:p>
            <w:r/>
            <w:r>
              <w:rPr>
                <w:b w:val="0"/>
                <w:sz w:val="16"/>
              </w:rPr>
              <w:t>Combining testing feedback with static-analysis feedback improves generated code, but the effect differs by model, task, and feedback source.</w:t>
            </w:r>
          </w:p>
        </w:tc>
        <w:tc>
          <w:tcPr>
            <w:tcW w:type="dxa" w:w="1522"/>
            <w:vAlign w:val="top"/>
          </w:tcPr>
          <w:p>
            <w:r/>
            <w:r>
              <w:rPr>
                <w:b w:val="0"/>
                <w:sz w:val="16"/>
              </w:rPr>
              <w:t>Reported table values include 46%-98% ranges across models and feedback conditions; discussion notes that feedback can improve but does not guarantee correctness/security.</w:t>
            </w:r>
          </w:p>
        </w:tc>
        <w:tc>
          <w:tcPr>
            <w:tcW w:type="dxa" w:w="1522"/>
            <w:vAlign w:val="top"/>
          </w:tcPr>
          <w:p>
            <w:r/>
            <w:r>
              <w:rPr>
                <w:b w:val="0"/>
                <w:sz w:val="16"/>
              </w:rPr>
              <w:t>LLM-based iterative generation using testing and static-analysis feedback</w:t>
            </w:r>
          </w:p>
        </w:tc>
        <w:tc>
          <w:tcPr>
            <w:tcW w:type="dxa" w:w="1522"/>
            <w:vAlign w:val="top"/>
          </w:tcPr>
          <w:p>
            <w:r/>
            <w:r>
              <w:rPr>
                <w:b w:val="0"/>
                <w:sz w:val="16"/>
              </w:rPr>
              <w:t>Results / Evaluation / Discussion</w:t>
            </w:r>
          </w:p>
        </w:tc>
      </w:tr>
      <w:tr>
        <w:tc>
          <w:tcPr>
            <w:tcW w:type="dxa" w:w="1522"/>
            <w:vAlign w:val="top"/>
          </w:tcPr>
          <w:p>
            <w:r/>
            <w:r>
              <w:rPr>
                <w:b w:val="0"/>
                <w:sz w:val="16"/>
              </w:rPr>
              <w:t>rabbi_multi-language_2025</w:t>
            </w:r>
          </w:p>
        </w:tc>
        <w:tc>
          <w:tcPr>
            <w:tcW w:type="dxa" w:w="1522"/>
            <w:vAlign w:val="top"/>
          </w:tcPr>
          <w:p>
            <w:r/>
            <w:r>
              <w:rPr>
                <w:b w:val="0"/>
                <w:sz w:val="16"/>
              </w:rPr>
              <w:t>2025</w:t>
            </w:r>
          </w:p>
        </w:tc>
        <w:tc>
          <w:tcPr>
            <w:tcW w:type="dxa" w:w="1522"/>
            <w:vAlign w:val="top"/>
          </w:tcPr>
          <w:p>
            <w:r/>
            <w:r>
              <w:rPr>
                <w:b w:val="0"/>
                <w:sz w:val="16"/>
              </w:rPr>
              <w:t>A2</w:t>
            </w:r>
          </w:p>
        </w:tc>
        <w:tc>
          <w:tcPr>
            <w:tcW w:type="dxa" w:w="1522"/>
            <w:vAlign w:val="top"/>
          </w:tcPr>
          <w:p>
            <w:r/>
            <w:r>
              <w:rPr>
                <w:b w:val="0"/>
                <w:sz w:val="16"/>
              </w:rPr>
              <w:t>Robustness and repairability vary across programming languages; generated code can often be improved through repair, but language-specific failures persist.</w:t>
            </w:r>
          </w:p>
        </w:tc>
        <w:tc>
          <w:tcPr>
            <w:tcW w:type="dxa" w:w="1522"/>
            <w:vAlign w:val="top"/>
          </w:tcPr>
          <w:p>
            <w:r/>
            <w:r>
              <w:rPr>
                <w:b w:val="0"/>
                <w:sz w:val="16"/>
              </w:rPr>
              <w:t>Reported abstract/summary figures include 7%, 90%, 5%, and 20% for robustness and repair-related comparisons; pass@1 tables used for language-level analysis.</w:t>
            </w:r>
          </w:p>
        </w:tc>
        <w:tc>
          <w:tcPr>
            <w:tcW w:type="dxa" w:w="1522"/>
            <w:vAlign w:val="top"/>
          </w:tcPr>
          <w:p>
            <w:r/>
            <w:r>
              <w:rPr>
                <w:b w:val="0"/>
                <w:sz w:val="16"/>
              </w:rPr>
              <w:t>LLM-based multi-language repair/robustness evaluation</w:t>
            </w:r>
          </w:p>
        </w:tc>
        <w:tc>
          <w:tcPr>
            <w:tcW w:type="dxa" w:w="1522"/>
            <w:vAlign w:val="top"/>
          </w:tcPr>
          <w:p>
            <w:r/>
            <w:r>
              <w:rPr>
                <w:b w:val="0"/>
                <w:sz w:val="16"/>
              </w:rPr>
              <w:t>RQ1-RQ3 / Results / pass@1 analysis</w:t>
            </w:r>
          </w:p>
        </w:tc>
      </w:tr>
      <w:tr>
        <w:tc>
          <w:tcPr>
            <w:tcW w:type="dxa" w:w="1522"/>
            <w:vAlign w:val="top"/>
          </w:tcPr>
          <w:p>
            <w:r/>
            <w:r>
              <w:rPr>
                <w:b w:val="0"/>
                <w:sz w:val="16"/>
              </w:rPr>
              <w:t>peng_perfcodegen_2024</w:t>
            </w:r>
          </w:p>
        </w:tc>
        <w:tc>
          <w:tcPr>
            <w:tcW w:type="dxa" w:w="1522"/>
            <w:vAlign w:val="top"/>
          </w:tcPr>
          <w:p>
            <w:r/>
            <w:r>
              <w:rPr>
                <w:b w:val="0"/>
                <w:sz w:val="16"/>
              </w:rPr>
              <w:t>2024</w:t>
            </w:r>
          </w:p>
        </w:tc>
        <w:tc>
          <w:tcPr>
            <w:tcW w:type="dxa" w:w="1522"/>
            <w:vAlign w:val="top"/>
          </w:tcPr>
          <w:p>
            <w:r/>
            <w:r>
              <w:rPr>
                <w:b w:val="0"/>
                <w:sz w:val="16"/>
              </w:rPr>
              <w:t>A2</w:t>
            </w:r>
          </w:p>
        </w:tc>
        <w:tc>
          <w:tcPr>
            <w:tcW w:type="dxa" w:w="1522"/>
            <w:vAlign w:val="top"/>
          </w:tcPr>
          <w:p>
            <w:r/>
            <w:r>
              <w:rPr>
                <w:b w:val="0"/>
                <w:sz w:val="16"/>
              </w:rPr>
              <w:t>Execution feedback can guide LLMs toward more efficient code, but optimisation-oriented correction targets performance rather than only functional repair.</w:t>
            </w:r>
          </w:p>
        </w:tc>
        <w:tc>
          <w:tcPr>
            <w:tcW w:type="dxa" w:w="1522"/>
            <w:vAlign w:val="top"/>
          </w:tcPr>
          <w:p>
            <w:r/>
            <w:r>
              <w:rPr>
                <w:b w:val="0"/>
                <w:sz w:val="16"/>
              </w:rPr>
              <w:t>Reported improvements include 92% and smaller benchmark-specific gains such as 5.55%, 1.31%, 6.17%, and 3.06% depending on task/model.</w:t>
            </w:r>
          </w:p>
        </w:tc>
        <w:tc>
          <w:tcPr>
            <w:tcW w:type="dxa" w:w="1522"/>
            <w:vAlign w:val="top"/>
          </w:tcPr>
          <w:p>
            <w:r/>
            <w:r>
              <w:rPr>
                <w:b w:val="0"/>
                <w:sz w:val="16"/>
              </w:rPr>
              <w:t>LLM-based performance repair with execution feedback</w:t>
            </w:r>
          </w:p>
        </w:tc>
        <w:tc>
          <w:tcPr>
            <w:tcW w:type="dxa" w:w="1522"/>
            <w:vAlign w:val="top"/>
          </w:tcPr>
          <w:p>
            <w:r/>
            <w:r>
              <w:rPr>
                <w:b w:val="0"/>
                <w:sz w:val="16"/>
              </w:rPr>
              <w:t>Evaluation / Results / Discussion</w:t>
            </w:r>
          </w:p>
        </w:tc>
      </w:tr>
      <w:tr>
        <w:tc>
          <w:tcPr>
            <w:tcW w:type="dxa" w:w="1522"/>
            <w:vAlign w:val="top"/>
          </w:tcPr>
          <w:p>
            <w:r/>
            <w:r>
              <w:rPr>
                <w:b w:val="0"/>
                <w:sz w:val="16"/>
              </w:rPr>
              <w:t>steenhoek_err_2025</w:t>
            </w:r>
          </w:p>
        </w:tc>
        <w:tc>
          <w:tcPr>
            <w:tcW w:type="dxa" w:w="1522"/>
            <w:vAlign w:val="top"/>
          </w:tcPr>
          <w:p>
            <w:r/>
            <w:r>
              <w:rPr>
                <w:b w:val="0"/>
                <w:sz w:val="16"/>
              </w:rPr>
              <w:t>2025</w:t>
            </w:r>
          </w:p>
        </w:tc>
        <w:tc>
          <w:tcPr>
            <w:tcW w:type="dxa" w:w="1522"/>
            <w:vAlign w:val="top"/>
          </w:tcPr>
          <w:p>
            <w:r/>
            <w:r>
              <w:rPr>
                <w:b w:val="0"/>
                <w:sz w:val="16"/>
              </w:rPr>
              <w:t>A2</w:t>
            </w:r>
          </w:p>
        </w:tc>
        <w:tc>
          <w:tcPr>
            <w:tcW w:type="dxa" w:w="1522"/>
            <w:vAlign w:val="top"/>
          </w:tcPr>
          <w:p>
            <w:r/>
            <w:r>
              <w:rPr>
                <w:b w:val="0"/>
                <w:sz w:val="16"/>
              </w:rPr>
              <w:t>LLM reasoning for vulnerability detection and correction is brittle: explanations and repair attempts may be confident while missing defects or producing incorrect fixes.</w:t>
            </w:r>
          </w:p>
        </w:tc>
        <w:tc>
          <w:tcPr>
            <w:tcW w:type="dxa" w:w="1522"/>
            <w:vAlign w:val="top"/>
          </w:tcPr>
          <w:p>
            <w:r/>
            <w:r>
              <w:rPr>
                <w:b w:val="0"/>
                <w:sz w:val="16"/>
              </w:rPr>
              <w:t>Reported vulnerability-detection/repair-related values include 54.5%, 70%, 55%, 67.4%, 86.1%, and 7.9% across experiments.</w:t>
            </w:r>
          </w:p>
        </w:tc>
        <w:tc>
          <w:tcPr>
            <w:tcW w:type="dxa" w:w="1522"/>
            <w:vAlign w:val="top"/>
          </w:tcPr>
          <w:p>
            <w:r/>
            <w:r>
              <w:rPr>
                <w:b w:val="0"/>
                <w:sz w:val="16"/>
              </w:rPr>
              <w:t>LLM-based vulnerability reasoning and repair assistance</w:t>
            </w:r>
          </w:p>
        </w:tc>
        <w:tc>
          <w:tcPr>
            <w:tcW w:type="dxa" w:w="1522"/>
            <w:vAlign w:val="top"/>
          </w:tcPr>
          <w:p>
            <w:r/>
            <w:r>
              <w:rPr>
                <w:b w:val="0"/>
                <w:sz w:val="16"/>
              </w:rPr>
              <w:t>Evaluation / Results / RQ analysis / Discussion</w:t>
            </w:r>
          </w:p>
        </w:tc>
      </w:tr>
      <w:tr>
        <w:tc>
          <w:tcPr>
            <w:tcW w:type="dxa" w:w="1522"/>
            <w:vAlign w:val="top"/>
          </w:tcPr>
          <w:p>
            <w:r/>
            <w:r>
              <w:rPr>
                <w:b w:val="0"/>
                <w:sz w:val="16"/>
              </w:rPr>
              <w:t>lian_uncovering_2024</w:t>
            </w:r>
          </w:p>
        </w:tc>
        <w:tc>
          <w:tcPr>
            <w:tcW w:type="dxa" w:w="1522"/>
            <w:vAlign w:val="top"/>
          </w:tcPr>
          <w:p>
            <w:r/>
            <w:r>
              <w:rPr>
                <w:b w:val="0"/>
                <w:sz w:val="16"/>
              </w:rPr>
              <w:t>2024</w:t>
            </w:r>
          </w:p>
        </w:tc>
        <w:tc>
          <w:tcPr>
            <w:tcW w:type="dxa" w:w="1522"/>
            <w:vAlign w:val="top"/>
          </w:tcPr>
          <w:p>
            <w:r/>
            <w:r>
              <w:rPr>
                <w:b w:val="0"/>
                <w:sz w:val="16"/>
              </w:rPr>
              <w:t>A2</w:t>
            </w:r>
          </w:p>
        </w:tc>
        <w:tc>
          <w:tcPr>
            <w:tcW w:type="dxa" w:w="1522"/>
            <w:vAlign w:val="top"/>
          </w:tcPr>
          <w:p>
            <w:r/>
            <w:r>
              <w:rPr>
                <w:b w:val="0"/>
                <w:sz w:val="16"/>
              </w:rPr>
              <w:t>Weaknesses in neural code generation include incorrect repairs and hidden failure modes; benchmark-level pass rates reveal that apparent generation quality masks persistent correctness gaps.</w:t>
            </w:r>
          </w:p>
        </w:tc>
        <w:tc>
          <w:tcPr>
            <w:tcW w:type="dxa" w:w="1522"/>
            <w:vAlign w:val="top"/>
          </w:tcPr>
          <w:p>
            <w:r/>
            <w:r>
              <w:rPr>
                <w:b w:val="0"/>
                <w:sz w:val="16"/>
              </w:rPr>
              <w:t>Reported pass@1 and related figures include 26.84%, 65.78%, 66.09%, 80.51%, 43.66%, 32.15%, and 23.01%.</w:t>
            </w:r>
          </w:p>
        </w:tc>
        <w:tc>
          <w:tcPr>
            <w:tcW w:type="dxa" w:w="1522"/>
            <w:vAlign w:val="top"/>
          </w:tcPr>
          <w:p>
            <w:r/>
            <w:r>
              <w:rPr>
                <w:b w:val="0"/>
                <w:sz w:val="16"/>
              </w:rPr>
              <w:t>Benchmark-based LLM code generation and repair-relevant weakness analysis</w:t>
            </w:r>
          </w:p>
        </w:tc>
        <w:tc>
          <w:tcPr>
            <w:tcW w:type="dxa" w:w="1522"/>
            <w:vAlign w:val="top"/>
          </w:tcPr>
          <w:p>
            <w:r/>
            <w:r>
              <w:rPr>
                <w:b w:val="0"/>
                <w:sz w:val="16"/>
              </w:rPr>
              <w:t>Evaluation / Results / Discussion</w:t>
            </w:r>
          </w:p>
        </w:tc>
      </w:tr>
    </w:tbl>
    <w:p>
      <w:pPr>
        <w:pStyle w:val="Heading1"/>
      </w:pPr>
      <w:r>
        <w:t>2. Analytical narrative</w:t>
      </w:r>
    </w:p>
    <w:p>
      <w:r>
        <w:t>Repair success rates and their benchmarks. The SUPPORT repair cluster presents automated correction as a measurable but uneven CQTD mitigation mechanism rather than as a solved capability. On traditional APR benchmarks, Zhang et al. frame ChatGPT as a plausible repair participant, but not a replacement for specialised repair systems: its reported Defects4J outcomes remain below stronger APR baselines, even though conversational follow-up can sometimes rescue a failed first patch [1]. Ma et al. sharpen this point by separating repair difficulty through BloomAPR: LLM-powered APR performs best on lower-complexity repair tasks and weakens as the required reasoning shifts towards analysis and evaluation, with reported success figures ranging from high performance in easier categories to much lower rates in harder ones [3]. Zhao et al. provide the strongest positive triangulation: Peer-Aided Repairer uses peer solutions to support repair of advanced student assignments and reports both repair-rate gains and compile-error reduction over simpler direct repair settings [4]. Performance-oriented repair also appears feasible, but it measures a different target: PerfCodeGen uses execution feedback to improve efficiency of generated code, showing that correction loops can optimise runtime behaviour as well as functional validity [9].</w:t>
      </w:r>
    </w:p>
    <w:p>
      <w:r>
        <w:t>Prompt type and feedback loop as repair moderators. Across these studies, repair quality depends less on the model alone than on the feedback channel wrapped around it. Liu et al. show that code-quality refinement can be improved through mitigation prompts and static-analysis-guided feedback, but the improvements are heterogeneous across correctness, maintainability, reliability, and security issue types [2]. Dolcetti et al. reach a similar conclusion with an explicit combination of testing and static-analysis feedback: feedback helps models improve generated code, yet the effect varies by model and by whether the feedback exposes failing tests, static warnings, or both [7]. Zhao et al. extend the feedback idea beyond tool output by using peer programmes as repair guidance, suggesting that contextual exemplars can function as a repair scaffold when tests alone are insufficient [4]. Peng et al. add an execution-feedback variant: measured runtime behaviour becomes the signal for correction, making the loop suitable for efficiency defects that would not necessarily be detected by ordinary unit tests [9].</w:t>
      </w:r>
    </w:p>
    <w:p>
      <w:r>
        <w:t>Multi-hop and multi-bug scenarios as harder repair targets. The most important boundary condition is error structure. Yang et al. explicitly benchmark data-science debugging under multi-hop and multi-bug conditions and show that performance falls when the model must identify chained causes or simultaneous defects rather than a single localised error [5]. Rabbi et al. add a cross-language perspective: robustness and repairability are not uniform across programming languages, so an apparently successful repair strategy in one language may not transfer cleanly to another [8]. Lian et al. further caution that benchmark pass rates can conceal hidden weaknesses in neural code generation, including failures that become visible only when prompts, test cases, or semantic constraints are varied [11]. Together, these papers indicate that repair benchmarks must distinguish isolated syntax or test failures from compound debugging tasks, because the latter better approximate real CQTD accumulation.</w:t>
      </w:r>
    </w:p>
    <w:p>
      <w:r>
        <w:t>Limits: repair can introduce new defects. Several SUPPORT papers make the same negative point from different angles: an automated fix is also a potential source of technical debt. Ma et al. explicitly discuss new-bug and overfitting risks in APR assessment, where a patch can satisfy visible tests while damaging unseen behaviour [3]. Liu et al. likewise treat refinement as mitigation rather than elimination: quality issues persist after repair attempts, and some prompt variants improve one quality dimension while leaving others exposed [2]. Security-focused studies intensify the concern. Mou et al. show that code copilots remain fragile from a security perspective, with vulnerability-related outcomes varying sharply across models and prompting conditions [6]. Steenhoek et al. report brittleness in vulnerability reasoning: models may produce convincing explanations or fixes while still missing the underlying defect [10]. This means that repair loops should be interpreted as triage and candidate-generation mechanisms, not as autonomous quality gates.</w:t>
      </w:r>
    </w:p>
    <w:p>
      <w:pPr>
        <w:pStyle w:val="Heading1"/>
      </w:pPr>
      <w:r>
        <w:t>3. Triangulation note</w:t>
      </w:r>
    </w:p>
    <w:p>
      <w:r>
        <w:t>For Phase 3 integration, this SUPPORT cluster should be used to triangulate the CORE CQTD claim that AI-assisted programming shifts quality assurance effort rather than removing it. The repair evidence adds a process-level mechanism: feedback loops, tests, static analysis, peer exemplars, and execution traces can improve generated code, but their benefits depend on benchmark design, error structure, model choice, and validation depth. The strongest triangulation value is therefore not a single aggregate repair rate; it is the repeated pattern that repair succeeds under constrained, observable defects and becomes less reliable when defects are multi-hop, security-sensitive, language-dependent, or hidden from the feedback signal.</w:t>
      </w:r>
    </w:p>
    <w:p>
      <w:pPr>
        <w:pStyle w:val="Heading1"/>
      </w:pPr>
      <w:r>
        <w:t>4. References</w:t>
      </w:r>
    </w:p>
    <w:p>
      <w:r>
        <w:t>[1] A Critical Review of Large Language Model on Software Engineering: An Example from ChatGPT and Automated Program Repair. Zhang et al., 2023. Bibkey: zhang_critical_2023.</w:t>
      </w:r>
    </w:p>
    <w:p>
      <w:r>
        <w:t>[2] Refining ChatGPT-Generated Code: Characterizing and Mitigating Code Quality Issues. Liu et al., 2024. Bibkey: liu_refining_2024.</w:t>
      </w:r>
    </w:p>
    <w:p>
      <w:r>
        <w:t>[3] BloomAPR: A Bloom's Taxonomy-based Framework for Assessing the Capabilities of LLM-Powered APR Solutions. Ma et al., 2025. Bibkey: ma_bloomapr_2025.</w:t>
      </w:r>
    </w:p>
    <w:p>
      <w:r>
        <w:t>[4] Peer-Aided Repairer: Empowering Large Language Models to Repair Advanced Student Assignments. Zhao et al., 2026. Bibkey: zhao_peer-aided_2026.</w:t>
      </w:r>
    </w:p>
    <w:p>
      <w:r>
        <w:t>[5] Why Stop at One Error? Benchmarking LLMs as Data Science Code Debuggers for Multi-Hop and Multi-Bug Errors. Yang et al., 2025. Bibkey: yang_why_2025.</w:t>
      </w:r>
    </w:p>
    <w:p>
      <w:r>
        <w:t>[6] Can You Really Trust Code Copilots? Evaluating Large Language Models from a Code Security Perspective. Mou et al., 2025. Bibkey: mou_can_2025.</w:t>
      </w:r>
    </w:p>
    <w:p>
      <w:r>
        <w:t>[7] Helping LLMs Improve Code Generation Using Feedback From Testing and Static Analysis. Dolcetti et al., 2026. Bibkey: dolcetti_helping_2026.</w:t>
      </w:r>
    </w:p>
    <w:p>
      <w:r>
        <w:t>[8] A Multi-Language Perspective on the Robustness of LLM Code Generation. Rabbi et al., 2025. Bibkey: rabbi_multi-language_2025.</w:t>
      </w:r>
    </w:p>
    <w:p>
      <w:r>
        <w:t>[9] PerfCodeGen: Improving Performance of LLM Generated Code with Execution Feedback. Peng et al., 2024. Bibkey: peng_perfcodegen_2024.</w:t>
      </w:r>
    </w:p>
    <w:p>
      <w:r>
        <w:t>[10] To Err is Machine: Vulnerability Detection Challenges LLM Reasoning. Steenhoek et al., 2025. Bibkey: steenhoek_err_2025.</w:t>
      </w:r>
    </w:p>
    <w:p>
      <w:r>
        <w:t>[11] Uncovering Weaknesses in Neural Code Generation. Lian et al., 2024. Bibkey: lian_uncovering_2024.</w:t>
      </w:r>
    </w:p>
    <w:p>
      <w:pPr>
        <w:pStyle w:val="Heading1"/>
      </w:pPr>
      <w:r>
        <w:t>5. Self-validation pass</w:t>
      </w:r>
    </w:p>
    <w:p>
      <w:pPr>
        <w:pStyle w:val="ListBullet"/>
      </w:pPr>
      <w:r>
        <w:t>All 11 in-scope bibkeys were verified literally in NB2_CQTD_Support.bib before drafting.</w:t>
      </w:r>
    </w:p>
    <w:p>
      <w:pPr>
        <w:pStyle w:val="ListBullet"/>
      </w:pPr>
      <w:r>
        <w:t>The evidence matrix was drafted before the narrative and contains only SUPPORT-corpus papers.</w:t>
      </w:r>
    </w:p>
    <w:p>
      <w:pPr>
        <w:pStyle w:val="ListBullet"/>
      </w:pPr>
      <w:r>
        <w:t>Inline numbering and References use a single first-appearance sequence [1]-[11].</w:t>
      </w:r>
    </w:p>
    <w:p>
      <w:pPr>
        <w:pStyle w:val="ListBullet"/>
      </w:pPr>
      <w:r>
        <w:t>No reference title contains BibTeX curly braces.</w:t>
      </w:r>
    </w:p>
    <w:p>
      <w:pPr>
        <w:pStyle w:val="ListBullet"/>
      </w:pPr>
      <w:r>
        <w:t>No paper anchors more than five narrative claims/items.</w:t>
      </w:r>
    </w:p>
    <w:p>
      <w:pPr>
        <w:pStyle w:val="ListBullet"/>
      </w:pPr>
      <w:r>
        <w:t>No bracketed bibliography markers, arXiv identifiers, or citation-from-citation figures were treated as empirical findings.</w:t>
      </w:r>
    </w:p>
    <w:p>
      <w:pPr>
        <w:pStyle w:val="ListBullet"/>
      </w:pPr>
      <w:r>
        <w:t>Spot-checks performed on Zhang et al. 2023, Zhao et al. 2026, and Dolcetti et al. 2026 against extracted PDF text from Results/Evaluation/RQ/Discussion sections.</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