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1.6 — NB2 CQTD SUPPORT: Reproducibility, Non-Determinism, and Evaluation Reliability</w:t>
      </w:r>
    </w:p>
    <w:p>
      <w:r>
        <w:t>Evidence matrix and analytical narrative grounded exclusively in the NB2_CQTD_Support corpus. British English; citations use exact bibkeys verified against NB2_CQTD_Support.bib.</w:t>
      </w:r>
    </w:p>
    <w:p>
      <w:pPr>
        <w:pStyle w:val="Heading1"/>
      </w:pPr>
      <w:r>
        <w:t>1. Evidence matrix</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top"/>
          </w:tcPr>
          <w:p>
            <w:r>
              <w:rPr>
                <w:sz w:val="14"/>
              </w:rPr>
              <w:t>Bibkey</w:t>
            </w:r>
          </w:p>
        </w:tc>
        <w:tc>
          <w:tcPr>
            <w:tcW w:type="dxa" w:w="1234"/>
            <w:vAlign w:val="top"/>
          </w:tcPr>
          <w:p>
            <w:r>
              <w:rPr>
                <w:sz w:val="14"/>
              </w:rPr>
              <w:t>Year</w:t>
            </w:r>
          </w:p>
        </w:tc>
        <w:tc>
          <w:tcPr>
            <w:tcW w:type="dxa" w:w="1234"/>
            <w:vAlign w:val="top"/>
          </w:tcPr>
          <w:p>
            <w:r>
              <w:rPr>
                <w:sz w:val="14"/>
              </w:rPr>
              <w:t>Quality tier</w:t>
            </w:r>
          </w:p>
        </w:tc>
        <w:tc>
          <w:tcPr>
            <w:tcW w:type="dxa" w:w="1234"/>
            <w:vAlign w:val="top"/>
          </w:tcPr>
          <w:p>
            <w:r>
              <w:rPr>
                <w:sz w:val="14"/>
              </w:rPr>
              <w:t>Key finding</w:t>
            </w:r>
          </w:p>
        </w:tc>
        <w:tc>
          <w:tcPr>
            <w:tcW w:type="dxa" w:w="1234"/>
            <w:vAlign w:val="top"/>
          </w:tcPr>
          <w:p>
            <w:r>
              <w:rPr>
                <w:sz w:val="14"/>
              </w:rPr>
              <w:t>Metric/value</w:t>
            </w:r>
          </w:p>
        </w:tc>
        <w:tc>
          <w:tcPr>
            <w:tcW w:type="dxa" w:w="1234"/>
            <w:vAlign w:val="top"/>
          </w:tcPr>
          <w:p>
            <w:r>
              <w:rPr>
                <w:sz w:val="14"/>
              </w:rPr>
              <w:t>Reliability dimension</w:t>
            </w:r>
          </w:p>
        </w:tc>
        <w:tc>
          <w:tcPr>
            <w:tcW w:type="dxa" w:w="1234"/>
            <w:vAlign w:val="top"/>
          </w:tcPr>
          <w:p>
            <w:r>
              <w:rPr>
                <w:sz w:val="14"/>
              </w:rPr>
              <w:t>PDF section</w:t>
            </w:r>
          </w:p>
        </w:tc>
      </w:tr>
      <w:tr>
        <w:tc>
          <w:tcPr>
            <w:tcW w:type="dxa" w:w="1234"/>
            <w:vAlign w:val="top"/>
          </w:tcPr>
          <w:p>
            <w:r>
              <w:rPr>
                <w:sz w:val="14"/>
              </w:rPr>
              <w:t>ouyang_empirical_2024</w:t>
            </w:r>
          </w:p>
        </w:tc>
        <w:tc>
          <w:tcPr>
            <w:tcW w:type="dxa" w:w="1234"/>
            <w:vAlign w:val="top"/>
          </w:tcPr>
          <w:p>
            <w:r>
              <w:rPr>
                <w:sz w:val="14"/>
              </w:rPr>
              <w:t>2024</w:t>
            </w:r>
          </w:p>
        </w:tc>
        <w:tc>
          <w:tcPr>
            <w:tcW w:type="dxa" w:w="1234"/>
            <w:vAlign w:val="top"/>
          </w:tcPr>
          <w:p>
            <w:r>
              <w:rPr>
                <w:sz w:val="14"/>
              </w:rPr>
              <w:t>A2</w:t>
            </w:r>
          </w:p>
        </w:tc>
        <w:tc>
          <w:tcPr>
            <w:tcW w:type="dxa" w:w="1234"/>
            <w:vAlign w:val="top"/>
          </w:tcPr>
          <w:p>
            <w:r>
              <w:rPr>
                <w:sz w:val="14"/>
              </w:rPr>
              <w:t>Repeated identical prompts produced substantial semantic non-determinism; tasks with no equal test output across five requests reached 75.76% (CodeContests), 51.00% (APPS), and 47.56% (HumanEval).</w:t>
            </w:r>
          </w:p>
        </w:tc>
        <w:tc>
          <w:tcPr>
            <w:tcW w:type="dxa" w:w="1234"/>
            <w:vAlign w:val="top"/>
          </w:tcPr>
          <w:p>
            <w:r>
              <w:rPr>
                <w:sz w:val="14"/>
              </w:rPr>
              <w:t>75.76%; 51.00%; 47.56%; five API calls per task; 829 problems</w:t>
            </w:r>
          </w:p>
        </w:tc>
        <w:tc>
          <w:tcPr>
            <w:tcW w:type="dxa" w:w="1234"/>
            <w:vAlign w:val="top"/>
          </w:tcPr>
          <w:p>
            <w:r>
              <w:rPr>
                <w:sz w:val="14"/>
              </w:rPr>
              <w:t>non-determinism / output similarity</w:t>
            </w:r>
          </w:p>
        </w:tc>
        <w:tc>
          <w:tcPr>
            <w:tcW w:type="dxa" w:w="1234"/>
            <w:vAlign w:val="top"/>
          </w:tcPr>
          <w:p>
            <w:r>
              <w:rPr>
                <w:sz w:val="14"/>
              </w:rPr>
              <w:t>RQ1 and Results, Section 4.1, pp. 9-11</w:t>
            </w:r>
          </w:p>
        </w:tc>
      </w:tr>
      <w:tr>
        <w:tc>
          <w:tcPr>
            <w:tcW w:type="dxa" w:w="1234"/>
            <w:vAlign w:val="top"/>
          </w:tcPr>
          <w:p>
            <w:r>
              <w:rPr>
                <w:sz w:val="14"/>
              </w:rPr>
              <w:t>kim_assessing_2025</w:t>
            </w:r>
          </w:p>
        </w:tc>
        <w:tc>
          <w:tcPr>
            <w:tcW w:type="dxa" w:w="1234"/>
            <w:vAlign w:val="top"/>
          </w:tcPr>
          <w:p>
            <w:r>
              <w:rPr>
                <w:sz w:val="14"/>
              </w:rPr>
              <w:t>2025</w:t>
            </w:r>
          </w:p>
        </w:tc>
        <w:tc>
          <w:tcPr>
            <w:tcW w:type="dxa" w:w="1234"/>
            <w:vAlign w:val="top"/>
          </w:tcPr>
          <w:p>
            <w:r>
              <w:rPr>
                <w:sz w:val="14"/>
              </w:rPr>
              <w:t>A2</w:t>
            </w:r>
          </w:p>
        </w:tc>
        <w:tc>
          <w:tcPr>
            <w:tcW w:type="dxa" w:w="1234"/>
            <w:vAlign w:val="top"/>
          </w:tcPr>
          <w:p>
            <w:r>
              <w:rPr>
                <w:sz w:val="14"/>
              </w:rPr>
              <w:t>The study operationalised reliability and similarity as separate concerns across ChatGPT, Gemini and Claude, showing that software artefact assessment needs both correctness-oriented review and inter-model similarity analysis.</w:t>
            </w:r>
          </w:p>
        </w:tc>
        <w:tc>
          <w:tcPr>
            <w:tcW w:type="dxa" w:w="1234"/>
            <w:vAlign w:val="top"/>
          </w:tcPr>
          <w:p>
            <w:r>
              <w:rPr>
                <w:sz w:val="14"/>
              </w:rPr>
              <w:t>Comparative case-study metrics for reliability and similarity; qualitative/quantitative artefact comparison</w:t>
            </w:r>
          </w:p>
        </w:tc>
        <w:tc>
          <w:tcPr>
            <w:tcW w:type="dxa" w:w="1234"/>
            <w:vAlign w:val="top"/>
          </w:tcPr>
          <w:p>
            <w:r>
              <w:rPr>
                <w:sz w:val="14"/>
              </w:rPr>
              <w:t>output similarity / evaluation validity</w:t>
            </w:r>
          </w:p>
        </w:tc>
        <w:tc>
          <w:tcPr>
            <w:tcW w:type="dxa" w:w="1234"/>
            <w:vAlign w:val="top"/>
          </w:tcPr>
          <w:p>
            <w:r>
              <w:rPr>
                <w:sz w:val="14"/>
              </w:rPr>
              <w:t>Research Questions, Method and Results, pp. 5-10</w:t>
            </w:r>
          </w:p>
        </w:tc>
      </w:tr>
      <w:tr>
        <w:tc>
          <w:tcPr>
            <w:tcW w:type="dxa" w:w="1234"/>
            <w:vAlign w:val="top"/>
          </w:tcPr>
          <w:p>
            <w:r>
              <w:rPr>
                <w:sz w:val="14"/>
              </w:rPr>
              <w:t>rawal_benchmarking_2025</w:t>
            </w:r>
          </w:p>
        </w:tc>
        <w:tc>
          <w:tcPr>
            <w:tcW w:type="dxa" w:w="1234"/>
            <w:vAlign w:val="top"/>
          </w:tcPr>
          <w:p>
            <w:r>
              <w:rPr>
                <w:sz w:val="14"/>
              </w:rPr>
              <w:t>2025</w:t>
            </w:r>
          </w:p>
        </w:tc>
        <w:tc>
          <w:tcPr>
            <w:tcW w:type="dxa" w:w="1234"/>
            <w:vAlign w:val="top"/>
          </w:tcPr>
          <w:p>
            <w:r>
              <w:rPr>
                <w:sz w:val="14"/>
              </w:rPr>
              <w:t>A2</w:t>
            </w:r>
          </w:p>
        </w:tc>
        <w:tc>
          <w:tcPr>
            <w:tcW w:type="dxa" w:w="1234"/>
            <w:vAlign w:val="top"/>
          </w:tcPr>
          <w:p>
            <w:r>
              <w:rPr>
                <w:sz w:val="14"/>
              </w:rPr>
              <w:t>Multi-turn and code-diff settings were harder than full-program generation; models produced more incorrect and insecure code when asked to generate code diffs.</w:t>
            </w:r>
          </w:p>
        </w:tc>
        <w:tc>
          <w:tcPr>
            <w:tcW w:type="dxa" w:w="1234"/>
            <w:vAlign w:val="top"/>
          </w:tcPr>
          <w:p>
            <w:r>
              <w:rPr>
                <w:sz w:val="14"/>
              </w:rPr>
              <w:t>Correctness and security jointly evaluated in multi-turn benchmark; degradation in code-diff generation</w:t>
            </w:r>
          </w:p>
        </w:tc>
        <w:tc>
          <w:tcPr>
            <w:tcW w:type="dxa" w:w="1234"/>
            <w:vAlign w:val="top"/>
          </w:tcPr>
          <w:p>
            <w:r>
              <w:rPr>
                <w:sz w:val="14"/>
              </w:rPr>
              <w:t>benchmark bias / evaluation validity</w:t>
            </w:r>
          </w:p>
        </w:tc>
        <w:tc>
          <w:tcPr>
            <w:tcW w:type="dxa" w:w="1234"/>
            <w:vAlign w:val="top"/>
          </w:tcPr>
          <w:p>
            <w:r>
              <w:rPr>
                <w:sz w:val="14"/>
              </w:rPr>
              <w:t>Abstract, Benchmark design and Results, pp. 1, 6-17</w:t>
            </w:r>
          </w:p>
        </w:tc>
      </w:tr>
      <w:tr>
        <w:tc>
          <w:tcPr>
            <w:tcW w:type="dxa" w:w="1234"/>
            <w:vAlign w:val="top"/>
          </w:tcPr>
          <w:p>
            <w:r>
              <w:rPr>
                <w:sz w:val="14"/>
              </w:rPr>
              <w:t>poldrack_ai-assisted_2023</w:t>
            </w:r>
          </w:p>
        </w:tc>
        <w:tc>
          <w:tcPr>
            <w:tcW w:type="dxa" w:w="1234"/>
            <w:vAlign w:val="top"/>
          </w:tcPr>
          <w:p>
            <w:r>
              <w:rPr>
                <w:sz w:val="14"/>
              </w:rPr>
              <w:t>2023</w:t>
            </w:r>
          </w:p>
        </w:tc>
        <w:tc>
          <w:tcPr>
            <w:tcW w:type="dxa" w:w="1234"/>
            <w:vAlign w:val="top"/>
          </w:tcPr>
          <w:p>
            <w:r>
              <w:rPr>
                <w:sz w:val="14"/>
              </w:rPr>
              <w:t>A2</w:t>
            </w:r>
          </w:p>
        </w:tc>
        <w:tc>
          <w:tcPr>
            <w:tcW w:type="dxa" w:w="1234"/>
            <w:vAlign w:val="top"/>
          </w:tcPr>
          <w:p>
            <w:r>
              <w:rPr>
                <w:sz w:val="14"/>
              </w:rPr>
              <w:t>GPT-4 could generate useful tests and improve refactoring metrics, but generated tests required human validation because many tests failed when applied to the associated code.</w:t>
            </w:r>
          </w:p>
        </w:tc>
        <w:tc>
          <w:tcPr>
            <w:tcW w:type="dxa" w:w="1234"/>
            <w:vAlign w:val="top"/>
          </w:tcPr>
          <w:p>
            <w:r>
              <w:rPr>
                <w:sz w:val="14"/>
              </w:rPr>
              <w:t>Substantial coverage but many failing generated tests; human validation required</w:t>
            </w:r>
          </w:p>
        </w:tc>
        <w:tc>
          <w:tcPr>
            <w:tcW w:type="dxa" w:w="1234"/>
            <w:vAlign w:val="top"/>
          </w:tcPr>
          <w:p>
            <w:r>
              <w:rPr>
                <w:sz w:val="14"/>
              </w:rPr>
              <w:t>evaluation validity</w:t>
            </w:r>
          </w:p>
        </w:tc>
        <w:tc>
          <w:tcPr>
            <w:tcW w:type="dxa" w:w="1234"/>
            <w:vAlign w:val="top"/>
          </w:tcPr>
          <w:p>
            <w:r>
              <w:rPr>
                <w:sz w:val="14"/>
              </w:rPr>
              <w:t>Results and Discussion, pp. 1, 7-9</w:t>
            </w:r>
          </w:p>
        </w:tc>
      </w:tr>
      <w:tr>
        <w:tc>
          <w:tcPr>
            <w:tcW w:type="dxa" w:w="1234"/>
            <w:vAlign w:val="top"/>
          </w:tcPr>
          <w:p>
            <w:r>
              <w:rPr>
                <w:sz w:val="14"/>
              </w:rPr>
              <w:t>lim_contracteval_2026</w:t>
            </w:r>
          </w:p>
        </w:tc>
        <w:tc>
          <w:tcPr>
            <w:tcW w:type="dxa" w:w="1234"/>
            <w:vAlign w:val="top"/>
          </w:tcPr>
          <w:p>
            <w:r>
              <w:rPr>
                <w:sz w:val="14"/>
              </w:rPr>
              <w:t>2026</w:t>
            </w:r>
          </w:p>
        </w:tc>
        <w:tc>
          <w:tcPr>
            <w:tcW w:type="dxa" w:w="1234"/>
            <w:vAlign w:val="top"/>
          </w:tcPr>
          <w:p>
            <w:r>
              <w:rPr>
                <w:sz w:val="14"/>
              </w:rPr>
              <w:t>A2</w:t>
            </w:r>
          </w:p>
        </w:tc>
        <w:tc>
          <w:tcPr>
            <w:tcW w:type="dxa" w:w="1234"/>
            <w:vAlign w:val="top"/>
          </w:tcPr>
          <w:p>
            <w:r>
              <w:rPr>
                <w:sz w:val="14"/>
              </w:rPr>
              <w:t>When contracts were explicitly included in prompts, contract satisfaction remained low; few-shot contract examples improved satisfaction while largely preserving pass@1.</w:t>
            </w:r>
          </w:p>
        </w:tc>
        <w:tc>
          <w:tcPr>
            <w:tcW w:type="dxa" w:w="1234"/>
            <w:vAlign w:val="top"/>
          </w:tcPr>
          <w:p>
            <w:r>
              <w:rPr>
                <w:sz w:val="14"/>
              </w:rPr>
              <w:t>Contract satisfaction 23-41%; with CVT examples 49-53%; 92% of original pass@1 preserved</w:t>
            </w:r>
          </w:p>
        </w:tc>
        <w:tc>
          <w:tcPr>
            <w:tcW w:type="dxa" w:w="1234"/>
            <w:vAlign w:val="top"/>
          </w:tcPr>
          <w:p>
            <w:r>
              <w:rPr>
                <w:sz w:val="14"/>
              </w:rPr>
              <w:t>benchmark bias / evaluation validity</w:t>
            </w:r>
          </w:p>
        </w:tc>
        <w:tc>
          <w:tcPr>
            <w:tcW w:type="dxa" w:w="1234"/>
            <w:vAlign w:val="top"/>
          </w:tcPr>
          <w:p>
            <w:r>
              <w:rPr>
                <w:sz w:val="14"/>
              </w:rPr>
              <w:t>Abstract and Results, pp. 1, 10-13</w:t>
            </w:r>
          </w:p>
        </w:tc>
      </w:tr>
      <w:tr>
        <w:tc>
          <w:tcPr>
            <w:tcW w:type="dxa" w:w="1234"/>
            <w:vAlign w:val="top"/>
          </w:tcPr>
          <w:p>
            <w:r>
              <w:rPr>
                <w:sz w:val="14"/>
              </w:rPr>
              <w:t>sabra_assessing_2025</w:t>
            </w:r>
          </w:p>
        </w:tc>
        <w:tc>
          <w:tcPr>
            <w:tcW w:type="dxa" w:w="1234"/>
            <w:vAlign w:val="top"/>
          </w:tcPr>
          <w:p>
            <w:r>
              <w:rPr>
                <w:sz w:val="14"/>
              </w:rPr>
              <w:t>2025</w:t>
            </w:r>
          </w:p>
        </w:tc>
        <w:tc>
          <w:tcPr>
            <w:tcW w:type="dxa" w:w="1234"/>
            <w:vAlign w:val="top"/>
          </w:tcPr>
          <w:p>
            <w:r>
              <w:rPr>
                <w:sz w:val="14"/>
              </w:rPr>
              <w:t>A2</w:t>
            </w:r>
          </w:p>
        </w:tc>
        <w:tc>
          <w:tcPr>
            <w:tcW w:type="dxa" w:w="1234"/>
            <w:vAlign w:val="top"/>
          </w:tcPr>
          <w:p>
            <w:r>
              <w:rPr>
                <w:sz w:val="14"/>
              </w:rPr>
              <w:t>Functional performance was treated as insufficient for production-readiness; the study examined common quality/security issue categories and the protective role of static analysis.</w:t>
            </w:r>
          </w:p>
        </w:tc>
        <w:tc>
          <w:tcPr>
            <w:tcW w:type="dxa" w:w="1234"/>
            <w:vAlign w:val="top"/>
          </w:tcPr>
          <w:p>
            <w:r>
              <w:rPr>
                <w:sz w:val="14"/>
              </w:rPr>
              <w:t>RQ4 asks whether functional performance correlates with quality/security; static analysis used as protective mechanism</w:t>
            </w:r>
          </w:p>
        </w:tc>
        <w:tc>
          <w:tcPr>
            <w:tcW w:type="dxa" w:w="1234"/>
            <w:vAlign w:val="top"/>
          </w:tcPr>
          <w:p>
            <w:r>
              <w:rPr>
                <w:sz w:val="14"/>
              </w:rPr>
              <w:t>evaluation validity</w:t>
            </w:r>
          </w:p>
        </w:tc>
        <w:tc>
          <w:tcPr>
            <w:tcW w:type="dxa" w:w="1234"/>
            <w:vAlign w:val="top"/>
          </w:tcPr>
          <w:p>
            <w:r>
              <w:rPr>
                <w:sz w:val="14"/>
              </w:rPr>
              <w:t>Research Objectives, Method and Discussion, pp. 3-7</w:t>
            </w:r>
          </w:p>
        </w:tc>
      </w:tr>
      <w:tr>
        <w:tc>
          <w:tcPr>
            <w:tcW w:type="dxa" w:w="1234"/>
            <w:vAlign w:val="top"/>
          </w:tcPr>
          <w:p>
            <w:r>
              <w:rPr>
                <w:sz w:val="14"/>
              </w:rPr>
              <w:t>wang_benchmarking_2025</w:t>
            </w:r>
          </w:p>
        </w:tc>
        <w:tc>
          <w:tcPr>
            <w:tcW w:type="dxa" w:w="1234"/>
            <w:vAlign w:val="top"/>
          </w:tcPr>
          <w:p>
            <w:r>
              <w:rPr>
                <w:sz w:val="14"/>
              </w:rPr>
              <w:t>2025</w:t>
            </w:r>
          </w:p>
        </w:tc>
        <w:tc>
          <w:tcPr>
            <w:tcW w:type="dxa" w:w="1234"/>
            <w:vAlign w:val="top"/>
          </w:tcPr>
          <w:p>
            <w:r>
              <w:rPr>
                <w:sz w:val="14"/>
              </w:rPr>
              <w:t>A2</w:t>
            </w:r>
          </w:p>
        </w:tc>
        <w:tc>
          <w:tcPr>
            <w:tcW w:type="dxa" w:w="1234"/>
            <w:vAlign w:val="top"/>
          </w:tcPr>
          <w:p>
            <w:r>
              <w:rPr>
                <w:sz w:val="14"/>
              </w:rPr>
              <w:t>Mutation-based evaluation showed that existing benchmarks and metrics can fail to fairly reflect code-generation performance under prompt variants and perturbations.</w:t>
            </w:r>
          </w:p>
        </w:tc>
        <w:tc>
          <w:tcPr>
            <w:tcW w:type="dxa" w:w="1234"/>
            <w:vAlign w:val="top"/>
          </w:tcPr>
          <w:p>
            <w:r>
              <w:rPr>
                <w:sz w:val="14"/>
              </w:rPr>
              <w:t>Correctness Variability, Mutation Bias and Best Pass@k introduced across mutation strategies</w:t>
            </w:r>
          </w:p>
        </w:tc>
        <w:tc>
          <w:tcPr>
            <w:tcW w:type="dxa" w:w="1234"/>
            <w:vAlign w:val="top"/>
          </w:tcPr>
          <w:p>
            <w:r>
              <w:rPr>
                <w:sz w:val="14"/>
              </w:rPr>
              <w:t>benchmark bias / non-determinism</w:t>
            </w:r>
          </w:p>
        </w:tc>
        <w:tc>
          <w:tcPr>
            <w:tcW w:type="dxa" w:w="1234"/>
            <w:vAlign w:val="top"/>
          </w:tcPr>
          <w:p>
            <w:r>
              <w:rPr>
                <w:sz w:val="14"/>
              </w:rPr>
              <w:t>Evaluation Setup and RQs, pp. 4-6</w:t>
            </w:r>
          </w:p>
        </w:tc>
      </w:tr>
      <w:tr>
        <w:tc>
          <w:tcPr>
            <w:tcW w:type="dxa" w:w="1234"/>
            <w:vAlign w:val="top"/>
          </w:tcPr>
          <w:p>
            <w:r>
              <w:rPr>
                <w:sz w:val="14"/>
              </w:rPr>
              <w:t>wang_validating_2024</w:t>
            </w:r>
          </w:p>
        </w:tc>
        <w:tc>
          <w:tcPr>
            <w:tcW w:type="dxa" w:w="1234"/>
            <w:vAlign w:val="top"/>
          </w:tcPr>
          <w:p>
            <w:r>
              <w:rPr>
                <w:sz w:val="14"/>
              </w:rPr>
              <w:t>2024</w:t>
            </w:r>
          </w:p>
        </w:tc>
        <w:tc>
          <w:tcPr>
            <w:tcW w:type="dxa" w:w="1234"/>
            <w:vAlign w:val="top"/>
          </w:tcPr>
          <w:p>
            <w:r>
              <w:rPr>
                <w:sz w:val="14"/>
              </w:rPr>
              <w:t>B</w:t>
            </w:r>
          </w:p>
        </w:tc>
        <w:tc>
          <w:tcPr>
            <w:tcW w:type="dxa" w:w="1234"/>
            <w:vAlign w:val="top"/>
          </w:tcPr>
          <w:p>
            <w:r>
              <w:rPr>
                <w:sz w:val="14"/>
              </w:rPr>
              <w:t>Metamorphic prompt testing detected erroneous LLM-generated programs without relying on canonical solutions or benchmark test cases during detection.</w:t>
            </w:r>
          </w:p>
        </w:tc>
        <w:tc>
          <w:tcPr>
            <w:tcW w:type="dxa" w:w="1234"/>
            <w:vAlign w:val="top"/>
          </w:tcPr>
          <w:p>
            <w:r>
              <w:rPr>
                <w:sz w:val="14"/>
              </w:rPr>
              <w:t>HumanEval 164 prompts used only for evaluation; GPT-4-1106-preview; false-positive/false-negative metrics</w:t>
            </w:r>
          </w:p>
        </w:tc>
        <w:tc>
          <w:tcPr>
            <w:tcW w:type="dxa" w:w="1234"/>
            <w:vAlign w:val="top"/>
          </w:tcPr>
          <w:p>
            <w:r>
              <w:rPr>
                <w:sz w:val="14"/>
              </w:rPr>
              <w:t>evaluation validity</w:t>
            </w:r>
          </w:p>
        </w:tc>
        <w:tc>
          <w:tcPr>
            <w:tcW w:type="dxa" w:w="1234"/>
            <w:vAlign w:val="top"/>
          </w:tcPr>
          <w:p>
            <w:r>
              <w:rPr>
                <w:sz w:val="14"/>
              </w:rPr>
              <w:t>Evaluation Setup and Results, pp. 4-7</w:t>
            </w:r>
          </w:p>
        </w:tc>
      </w:tr>
      <w:tr>
        <w:tc>
          <w:tcPr>
            <w:tcW w:type="dxa" w:w="1234"/>
            <w:vAlign w:val="top"/>
          </w:tcPr>
          <w:p>
            <w:r>
              <w:rPr>
                <w:sz w:val="14"/>
              </w:rPr>
              <w:t>zheng_humanevo_2025</w:t>
            </w:r>
          </w:p>
        </w:tc>
        <w:tc>
          <w:tcPr>
            <w:tcW w:type="dxa" w:w="1234"/>
            <w:vAlign w:val="top"/>
          </w:tcPr>
          <w:p>
            <w:r>
              <w:rPr>
                <w:sz w:val="14"/>
              </w:rPr>
              <w:t>2025</w:t>
            </w:r>
          </w:p>
        </w:tc>
        <w:tc>
          <w:tcPr>
            <w:tcW w:type="dxa" w:w="1234"/>
            <w:vAlign w:val="top"/>
          </w:tcPr>
          <w:p>
            <w:r>
              <w:rPr>
                <w:sz w:val="14"/>
              </w:rPr>
              <w:t>A2</w:t>
            </w:r>
          </w:p>
        </w:tc>
        <w:tc>
          <w:tcPr>
            <w:tcW w:type="dxa" w:w="1234"/>
            <w:vAlign w:val="top"/>
          </w:tcPr>
          <w:p>
            <w:r>
              <w:rPr>
                <w:sz w:val="14"/>
              </w:rPr>
              <w:t>Evolution-aware repository evaluation produced lower scores than evolution-ignored settings, indicating that ignoring project evolution inflates model performance.</w:t>
            </w:r>
          </w:p>
        </w:tc>
        <w:tc>
          <w:tcPr>
            <w:tcW w:type="dxa" w:w="1234"/>
            <w:vAlign w:val="top"/>
          </w:tcPr>
          <w:p>
            <w:r>
              <w:rPr>
                <w:sz w:val="14"/>
              </w:rPr>
              <w:t>Examples: GPT-4 34.5% to 26.5% and 20.5% to 14.5%; decreases around 23-29% in reported settings</w:t>
            </w:r>
          </w:p>
        </w:tc>
        <w:tc>
          <w:tcPr>
            <w:tcW w:type="dxa" w:w="1234"/>
            <w:vAlign w:val="top"/>
          </w:tcPr>
          <w:p>
            <w:r>
              <w:rPr>
                <w:sz w:val="14"/>
              </w:rPr>
              <w:t>benchmark bias / evaluation validity</w:t>
            </w:r>
          </w:p>
        </w:tc>
        <w:tc>
          <w:tcPr>
            <w:tcW w:type="dxa" w:w="1234"/>
            <w:vAlign w:val="top"/>
          </w:tcPr>
          <w:p>
            <w:r>
              <w:rPr>
                <w:sz w:val="14"/>
              </w:rPr>
              <w:t>Research Questions and Results, pp. 5-8</w:t>
            </w:r>
          </w:p>
        </w:tc>
      </w:tr>
      <w:tr>
        <w:tc>
          <w:tcPr>
            <w:tcW w:type="dxa" w:w="1234"/>
            <w:vAlign w:val="top"/>
          </w:tcPr>
          <w:p>
            <w:r>
              <w:rPr>
                <w:sz w:val="14"/>
              </w:rPr>
              <w:t>chervyakov_mera_2025</w:t>
            </w:r>
          </w:p>
        </w:tc>
        <w:tc>
          <w:tcPr>
            <w:tcW w:type="dxa" w:w="1234"/>
            <w:vAlign w:val="top"/>
          </w:tcPr>
          <w:p>
            <w:r>
              <w:rPr>
                <w:sz w:val="14"/>
              </w:rPr>
              <w:t>2025</w:t>
            </w:r>
          </w:p>
        </w:tc>
        <w:tc>
          <w:tcPr>
            <w:tcW w:type="dxa" w:w="1234"/>
            <w:vAlign w:val="top"/>
          </w:tcPr>
          <w:p>
            <w:r>
              <w:rPr>
                <w:sz w:val="14"/>
              </w:rPr>
              <w:t>A2</w:t>
            </w:r>
          </w:p>
        </w:tc>
        <w:tc>
          <w:tcPr>
            <w:tcW w:type="dxa" w:w="1234"/>
            <w:vAlign w:val="top"/>
          </w:tcPr>
          <w:p>
            <w:r>
              <w:rPr>
                <w:sz w:val="14"/>
              </w:rPr>
              <w:t>MERA Code framed benchmark reliability as a moving target: benchmark utility requires regular updates, attention to contamination, and caution with parsing/instruction-following artefacts.</w:t>
            </w:r>
          </w:p>
        </w:tc>
        <w:tc>
          <w:tcPr>
            <w:tcW w:type="dxa" w:w="1234"/>
            <w:vAlign w:val="top"/>
          </w:tcPr>
          <w:p>
            <w:r>
              <w:rPr>
                <w:sz w:val="14"/>
              </w:rPr>
              <w:t>Unified framework across code-generation tasks; qualitative limitations on ambiguity, parsing, contamination and updating</w:t>
            </w:r>
          </w:p>
        </w:tc>
        <w:tc>
          <w:tcPr>
            <w:tcW w:type="dxa" w:w="1234"/>
            <w:vAlign w:val="top"/>
          </w:tcPr>
          <w:p>
            <w:r>
              <w:rPr>
                <w:sz w:val="14"/>
              </w:rPr>
              <w:t>benchmark bias / evaluation validity</w:t>
            </w:r>
          </w:p>
        </w:tc>
        <w:tc>
          <w:tcPr>
            <w:tcW w:type="dxa" w:w="1234"/>
            <w:vAlign w:val="top"/>
          </w:tcPr>
          <w:p>
            <w:r>
              <w:rPr>
                <w:sz w:val="14"/>
              </w:rPr>
              <w:t>Evaluation, Limitations and Discussion, pp. 8-16</w:t>
            </w:r>
          </w:p>
        </w:tc>
      </w:tr>
      <w:tr>
        <w:tc>
          <w:tcPr>
            <w:tcW w:type="dxa" w:w="1234"/>
            <w:vAlign w:val="top"/>
          </w:tcPr>
          <w:p>
            <w:r>
              <w:rPr>
                <w:sz w:val="14"/>
              </w:rPr>
              <w:t>liu_towards_2024</w:t>
            </w:r>
          </w:p>
        </w:tc>
        <w:tc>
          <w:tcPr>
            <w:tcW w:type="dxa" w:w="1234"/>
            <w:vAlign w:val="top"/>
          </w:tcPr>
          <w:p>
            <w:r>
              <w:rPr>
                <w:sz w:val="14"/>
              </w:rPr>
              <w:t>2024</w:t>
            </w:r>
          </w:p>
        </w:tc>
        <w:tc>
          <w:tcPr>
            <w:tcW w:type="dxa" w:w="1234"/>
            <w:vAlign w:val="top"/>
          </w:tcPr>
          <w:p>
            <w:r>
              <w:rPr>
                <w:sz w:val="14"/>
              </w:rPr>
              <w:t>A2</w:t>
            </w:r>
          </w:p>
        </w:tc>
        <w:tc>
          <w:tcPr>
            <w:tcW w:type="dxa" w:w="1234"/>
            <w:vAlign w:val="top"/>
          </w:tcPr>
          <w:p>
            <w:r>
              <w:rPr>
                <w:sz w:val="14"/>
              </w:rPr>
              <w:t>The thesis explicitly separated performance from reliability, examining data duplication between training/testing sets, duplication across test sets and output-input similarity.</w:t>
            </w:r>
          </w:p>
        </w:tc>
        <w:tc>
          <w:tcPr>
            <w:tcW w:type="dxa" w:w="1234"/>
            <w:vAlign w:val="top"/>
          </w:tcPr>
          <w:p>
            <w:r>
              <w:rPr>
                <w:sz w:val="14"/>
              </w:rPr>
              <w:t>Reliability analysis includes data duplication and output-input similarity; downstream task benchmark comparisons</w:t>
            </w:r>
          </w:p>
        </w:tc>
        <w:tc>
          <w:tcPr>
            <w:tcW w:type="dxa" w:w="1234"/>
            <w:vAlign w:val="top"/>
          </w:tcPr>
          <w:p>
            <w:r>
              <w:rPr>
                <w:sz w:val="14"/>
              </w:rPr>
              <w:t>benchmark bias / output similarity</w:t>
            </w:r>
          </w:p>
        </w:tc>
        <w:tc>
          <w:tcPr>
            <w:tcW w:type="dxa" w:w="1234"/>
            <w:vAlign w:val="top"/>
          </w:tcPr>
          <w:p>
            <w:r>
              <w:rPr>
                <w:sz w:val="14"/>
              </w:rPr>
              <w:t>Chapter 2 RQ2 Results and Discussion, pp. 26-41</w:t>
            </w:r>
          </w:p>
        </w:tc>
      </w:tr>
      <w:tr>
        <w:tc>
          <w:tcPr>
            <w:tcW w:type="dxa" w:w="1234"/>
            <w:vAlign w:val="top"/>
          </w:tcPr>
          <w:p>
            <w:r>
              <w:rPr>
                <w:sz w:val="14"/>
              </w:rPr>
              <w:t>rabbi_multi-language_2025</w:t>
            </w:r>
          </w:p>
        </w:tc>
        <w:tc>
          <w:tcPr>
            <w:tcW w:type="dxa" w:w="1234"/>
            <w:vAlign w:val="top"/>
          </w:tcPr>
          <w:p>
            <w:r>
              <w:rPr>
                <w:sz w:val="14"/>
              </w:rPr>
              <w:t>2025</w:t>
            </w:r>
          </w:p>
        </w:tc>
        <w:tc>
          <w:tcPr>
            <w:tcW w:type="dxa" w:w="1234"/>
            <w:vAlign w:val="top"/>
          </w:tcPr>
          <w:p>
            <w:r>
              <w:rPr>
                <w:sz w:val="14"/>
              </w:rPr>
              <w:t>A2</w:t>
            </w:r>
          </w:p>
        </w:tc>
        <w:tc>
          <w:tcPr>
            <w:tcW w:type="dxa" w:w="1234"/>
            <w:vAlign w:val="top"/>
          </w:tcPr>
          <w:p>
            <w:r>
              <w:rPr>
                <w:sz w:val="14"/>
              </w:rPr>
              <w:t>Robustness dropped across Java, C++ and JavaScript under semantics-preserving perturbations; language and perturbation type affected magnitude, and prompt repair yielded only marginal gains.</w:t>
            </w:r>
          </w:p>
        </w:tc>
        <w:tc>
          <w:tcPr>
            <w:tcW w:type="dxa" w:w="1234"/>
            <w:vAlign w:val="top"/>
          </w:tcPr>
          <w:p>
            <w:r>
              <w:rPr>
                <w:sz w:val="14"/>
              </w:rPr>
              <w:t>Six LLMs; EvalPlus-X; pass@1, Robust Drop, Robust Relative; five perturbed prompts per sample</w:t>
            </w:r>
          </w:p>
        </w:tc>
        <w:tc>
          <w:tcPr>
            <w:tcW w:type="dxa" w:w="1234"/>
            <w:vAlign w:val="top"/>
          </w:tcPr>
          <w:p>
            <w:r>
              <w:rPr>
                <w:sz w:val="14"/>
              </w:rPr>
              <w:t>non-determinism / output similarity</w:t>
            </w:r>
          </w:p>
        </w:tc>
        <w:tc>
          <w:tcPr>
            <w:tcW w:type="dxa" w:w="1234"/>
            <w:vAlign w:val="top"/>
          </w:tcPr>
          <w:p>
            <w:r>
              <w:rPr>
                <w:sz w:val="14"/>
              </w:rPr>
              <w:t>RQ1-RQ3, Metrics and Results, pp. 6, 18-35</w:t>
            </w:r>
          </w:p>
        </w:tc>
      </w:tr>
    </w:tbl>
    <w:p>
      <w:pPr>
        <w:pStyle w:val="Heading1"/>
      </w:pPr>
      <w:r>
        <w:t>2. Analytical narrative</w:t>
      </w:r>
    </w:p>
    <w:p>
      <w:r>
        <w:t>The SUPPORT evidence treats reproducibility as an empirical property of generated code rather than as a background nuisance. The strongest direct evidence comes from Ouyang et al., who repeated the same code-generation prompt five times over 829 benchmark problems and found that the proportion of tasks with no equal test output across requests was 75.76% on CodeContests, 51.00% on APPS and 47.56% on HumanEval [1]. This is not a minor sampling artefact: the reported maximum difference in test pass rate reached 1.00 across all three datasets, meaning that an apparently successful or unsuccessful result can depend on which run is observed. Rabbi et al. extend this concern from repeated sampling to robustness under semantics-preserving prompt perturbations across Java, C++ and JavaScript. Their pass@1, Robust Drop and Robust Relative framing shows that robustness is language- and perturbation-dependent, and that prompt repair recovers only marginal performance in some cases [2]. For CQTD synthesis, the practical implication is clear: single-run evaluations are weak evidence unless the study reports sampling, prompt-variation or robustness controls.</w:t>
      </w:r>
    </w:p>
    <w:p>
      <w:r>
        <w:t>Benchmark overestimation is a second recurring reliability threat. HumanEvo shows that repository-level code generation looks materially stronger when project evolution is ignored: the paper reports lower scores in evolution-aware settings, including GPT-4 drops from 34.5% to 26.5% and from 20.5% to 14.5% in the reported comparisons [3]. Rawal et al. similarly challenge benchmark simplification by moving from single-turn full-program generation to multi-turn and code-diff generation, where models produced more incorrect and insecure code [4]. Lim et al. identify another blind spot: standard pass@1 can obscure whether generated code satisfies explicit contracts. Even when contracts were stated, satisfaction reached only 23-41%; showing contract-validating examples raised this to 49-53% while preserving 92% of original pass@1 [5]. Together, these papers suggest that conventional benchmarks may overestimate production readiness when they omit temporal context, iterative development, security constraints or design-by-contract obligations.</w:t>
      </w:r>
    </w:p>
    <w:p>
      <w:r>
        <w:t>Output similarity is the bridge between non-determinism and evaluation validity. Kim and Ming explicitly separate reliability from similarity when comparing ChatGPT, Gemini and Claude outputs, treating inter-model and artefact-level similarity as necessary complements to correctness-oriented review [6]. Liu’s thesis makes the same distinction at benchmark level by analysing reliability through data duplication between training and testing sets, duplication across test sets and output-input similarity [7]. Wang et al. add a mutation-based perspective: prompt variants and perturbations are not neutral transformations, so they introduce Correctness Variability, Mutation Bias and Best Pass@k to measure how benchmark results shift under input changes [8]. The combined message is that two outputs can be functionally similar, textually divergent, structurally different or benchmark-contaminated; CQTD evidence therefore needs to specify which form of similarity is being claimed.</w:t>
      </w:r>
    </w:p>
    <w:p>
      <w:r>
        <w:t>The final methodological gap concerns validation infrastructure. Wang and Zhu’s metamorphic prompt testing is important because it detects erroneous LLM-generated programs without using canonical HumanEval solutions or official tests during detection, reserving those artefacts for evaluation [9]. Poldrack et al. illustrate the human-validation side of the same issue: GPT-4 generated tests with substantial coverage and improved refactoring metrics, but many tests failed when applied to the associated code, so generated tests could not be accepted as self-validating evidence [10]. Sabra et al. make this limitation explicit for quality/security assessment by asking whether functional performance correlates with quality and security, and by positioning static analysis as a protective mechanism rather than a complete oracle [11]. Chervyakov et al. broaden the concern at framework level: benchmark results can be affected by data contamination, parsing failures, instruction-following limitations, ambiguous prompts and the need for regular benchmark updates [12]. For Phase 1.6, the synthesis consequence is that reproducibility evidence should be weighted not only by headline scores, but also by whether the evaluation design controls non-determinism, contamination, prompt sensitivity and oracle validity.</w:t>
      </w:r>
    </w:p>
    <w:p>
      <w:pPr>
        <w:pStyle w:val="Heading1"/>
      </w:pPr>
      <w:r>
        <w:t>3. Triangulation note</w:t>
      </w:r>
    </w:p>
    <w:p>
      <w:r>
        <w:t>Triangulation note. Within NB2_CQTD_Support, reproducibility functions as a methodological triangulation layer rather than as a separate quality outcome. Non-determinism studies explain why correctness/security results can vary across repeated prompts; benchmark-bias studies explain why apparently high performance can collapse under more realistic repository, contract, multi-turn or mutation settings; and validation studies show why generated tests, static analysers and benchmark oracles each need bounded interpretation. These SUPPORT papers should therefore be used in Phase 3 to qualify CORE claims: they do not overturn CQTD evidence, but they identify when a result is likely to be over-specific, overestimated or insufficiently reproducible.</w:t>
      </w:r>
    </w:p>
    <w:p>
      <w:pPr>
        <w:pStyle w:val="Heading1"/>
      </w:pPr>
      <w:r>
        <w:t>4. References</w:t>
      </w:r>
    </w:p>
    <w:p>
      <w:r>
        <w:t>[1] An Empirical Study of the Non-Determinism of ChatCPT in Code Generation. Ouyang, Shuyin and Zhang, Jie M. and Harman, Mark and Wang, Meng, 2024. Bibkey: ouyang_empirical_2024.</w:t>
      </w:r>
    </w:p>
    <w:p>
      <w:r>
        <w:t>[2] A Multi-Language Perspective on the Robustness of LLM Code Generation. Rabbi, Fazle and Ding, Zishuo and Yang, Jinqiu, 2025. Bibkey: rabbi_multi-language_2025.</w:t>
      </w:r>
    </w:p>
    <w:p>
      <w:r>
        <w:t>[3] HumanEvo: An Evolution-aware Benchmark for More Realistic Evaluation of Repository-level Code Generation. Zheng, Dewu and Wang, Yanlin and Shi, Ensheng and Zhang, Ruikai and Ma, Yuchi and Zhang, Hongyu and Zheng, Zibin, 2025. Bibkey: zheng_humanevo_2025.</w:t>
      </w:r>
    </w:p>
    <w:p>
      <w:r>
        <w:t>[4] Benchmarking Correctness and Security in Multi-Turn Code Generation. Rawal, Ruchit and Chiang, Jeffrey Yang Fan and Shen, Chihao and Tian, Jeffery Siyuan and Mahajan, Aastha and Goldstein, Tom and Chen, Yizheng, 2025. Bibkey: rawal_benchmarking_2025.</w:t>
      </w:r>
    </w:p>
    <w:p>
      <w:r>
        <w:t>[5] ContractEval: A Benchmark for Evaluating Contract-Satisfying Assertions in Code Generation. Lim, Soohan and Hahn, Joonghyuk and Park, Hyunwoo and Ko, Sang-Ki and Han, Yo-Sub, 2026. Bibkey: lim_contracteval_2026.</w:t>
      </w:r>
    </w:p>
    <w:p>
      <w:r>
        <w:t>[6] Assessing Output Reliability and Similarity of Large Language Models in Software Development: A Comparative Case Study Approach. Kim, Dae-Kyoo and Ming, Hua, 2025. Bibkey: kim_assessing_2025.</w:t>
      </w:r>
    </w:p>
    <w:p>
      <w:r>
        <w:t>[7] Towards Reliable LLM-based Software Development Tools. Liu, Yue, 2024. Bibkey: liu_towards_2024.</w:t>
      </w:r>
    </w:p>
    <w:p>
      <w:r>
        <w:t>[8] Benchmarking and Revisiting Code Generation Assessment: A Mutation-Based Approach. Wang, Longtian and Li, Tianlin and Xie, Xiaofei and Zhi, Yuhan and Wang, Jian and Shen, Chao, 2025. Bibkey: wang_benchmarking_2025.</w:t>
      </w:r>
    </w:p>
    <w:p>
      <w:r>
        <w:t>[9] Validating LLM-Generated Programs with Metamorphic Prompt Testing. Wang, Xiaoyin and Zhu, Dakai, 2024. Bibkey: wang_validating_2024.</w:t>
      </w:r>
    </w:p>
    <w:p>
      <w:r>
        <w:t>[10] AI-Assisted Coding: Experiments with GPT-4. Poldrack, Russell A and Lu, Thomas and Begu\v s, Ga\v sper, 2023. Bibkey: poldrack_ai-assisted_2023.</w:t>
      </w:r>
    </w:p>
    <w:p>
      <w:r>
        <w:t>[11] Assessing the Quality and Security of AI-Generated Code: A Quantitative Analysis. Sabra, Abbas and Schmitt, Olivier and Tyler, Joseph, 2025. Bibkey: sabra_assessing_2025.</w:t>
      </w:r>
    </w:p>
    <w:p>
      <w:r>
        <w:t>[12] MERA Code: A Unified Framework for Evaluating Code Generation Across Tasks. Chervyakov, Artem and Kharitonov, Alexander and Zadorozhny, Pavel and Pavel, Adamenko and Levichev, Rodion and Vorobev, Dmitrii and Salikhov, Dmitrii and Valeev, Aidar and Pestova, Alena and Dziuba, Maria and Alimova, Ilseyar and Zavgorodnev, Artem and Medvedev, Aleksandr and Moiseev, Stanislav and Bruches, Elena and Grebenkin, Daniil and Derunets, Roman and Vladimir, Vikulov and Emelyanov, Anton and Babaev, Dmitrii and Ivanov, Vladimir V. and Malykh, Valentin and Fenogenova, Alena, 2025. Bibkey: chervyakov_mera_2025.</w:t>
      </w:r>
    </w:p>
    <w:p>
      <w:pPr>
        <w:pStyle w:val="Heading1"/>
      </w:pPr>
      <w:r>
        <w:t>5. Self-validation summary</w:t>
      </w:r>
    </w:p>
    <w:p>
      <w:r>
        <w:t>Validation completed: all 12 in-scope bibkeys were checked against NB2_CQTD_Support.bib; the evidence matrix was drafted before the narrative; references are ordered by first inline appearance; every inline citation has a matching reference entry; no cited paper exceeds five narrative claims; titles are listed without BibTeX curly braces; no NB1 CORE papers are cited.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