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6201" w14:textId="77777777" w:rsidR="005C0931" w:rsidRDefault="00000000">
      <w:pPr>
        <w:jc w:val="center"/>
      </w:pPr>
      <w:r>
        <w:rPr>
          <w:b/>
          <w:sz w:val="32"/>
        </w:rPr>
        <w:t>Phase 2.3 — NB2 CQTD SUPPORT Consolidated Evidence Profile</w:t>
      </w:r>
    </w:p>
    <w:p w14:paraId="181B8FDD" w14:textId="77777777" w:rsidR="005C0931" w:rsidRDefault="00000000">
      <w:pPr>
        <w:jc w:val="center"/>
      </w:pPr>
      <w:r>
        <w:rPr>
          <w:i/>
        </w:rPr>
        <w:t>Self-contained consolidation for Phase 3 integration with NB1_CQTD_CORE</w:t>
      </w:r>
    </w:p>
    <w:p w14:paraId="746AE068" w14:textId="77777777" w:rsidR="005C0931" w:rsidRDefault="00000000">
      <w:r>
        <w:t>Scope note. This document consolidates the Phase 1.1–1.6 artefacts and Phase 2.1–2.2 syntheses for the 64-paper NB2_CQTD_Support corpus only. Citation numbering is local to this document; references are ordered by first appearance.</w:t>
      </w:r>
    </w:p>
    <w:p w14:paraId="432FEECA" w14:textId="77777777" w:rsidR="005C0931" w:rsidRDefault="00000000">
      <w:pPr>
        <w:pStyle w:val="Heading1"/>
      </w:pPr>
      <w:r>
        <w:t>1. Corpus evidence summary table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C0931" w14:paraId="6FE901EE" w14:textId="77777777">
        <w:trPr>
          <w:jc w:val="center"/>
        </w:trPr>
        <w:tc>
          <w:tcPr>
            <w:tcW w:w="2045" w:type="dxa"/>
            <w:shd w:val="clear" w:color="auto" w:fill="D9EAF7"/>
          </w:tcPr>
          <w:p w14:paraId="20E8A2B6" w14:textId="77777777" w:rsidR="005C0931" w:rsidRDefault="00000000">
            <w:r>
              <w:rPr>
                <w:b/>
              </w:rPr>
              <w:t>Sub-topic</w:t>
            </w:r>
          </w:p>
        </w:tc>
        <w:tc>
          <w:tcPr>
            <w:tcW w:w="2045" w:type="dxa"/>
            <w:shd w:val="clear" w:color="auto" w:fill="D9EAF7"/>
          </w:tcPr>
          <w:p w14:paraId="17B6E61A" w14:textId="77777777" w:rsidR="005C0931" w:rsidRDefault="00000000">
            <w:r>
              <w:rPr>
                <w:b/>
              </w:rPr>
              <w:t>Papers contributing</w:t>
            </w:r>
          </w:p>
        </w:tc>
        <w:tc>
          <w:tcPr>
            <w:tcW w:w="2045" w:type="dxa"/>
            <w:shd w:val="clear" w:color="auto" w:fill="D9EAF7"/>
          </w:tcPr>
          <w:p w14:paraId="5EA63FF2" w14:textId="77777777" w:rsidR="005C0931" w:rsidRDefault="00000000">
            <w:r>
              <w:rPr>
                <w:b/>
              </w:rPr>
              <w:t>Strongest anchor(s)</w:t>
            </w:r>
          </w:p>
        </w:tc>
        <w:tc>
          <w:tcPr>
            <w:tcW w:w="2045" w:type="dxa"/>
            <w:shd w:val="clear" w:color="auto" w:fill="D9EAF7"/>
          </w:tcPr>
          <w:p w14:paraId="2AF01237" w14:textId="77777777" w:rsidR="005C0931" w:rsidRDefault="00000000">
            <w:r>
              <w:rPr>
                <w:b/>
              </w:rPr>
              <w:t>Confidence level</w:t>
            </w:r>
          </w:p>
        </w:tc>
        <w:tc>
          <w:tcPr>
            <w:tcW w:w="2045" w:type="dxa"/>
            <w:shd w:val="clear" w:color="auto" w:fill="D9EAF7"/>
          </w:tcPr>
          <w:p w14:paraId="56F77FA7" w14:textId="77777777" w:rsidR="005C0931" w:rsidRDefault="00000000">
            <w:r>
              <w:rPr>
                <w:b/>
              </w:rPr>
              <w:t>Key caveat for Phase 3 use</w:t>
            </w:r>
          </w:p>
        </w:tc>
      </w:tr>
      <w:tr w:rsidR="005C0931" w14:paraId="44E51412" w14:textId="77777777">
        <w:trPr>
          <w:jc w:val="center"/>
        </w:trPr>
        <w:tc>
          <w:tcPr>
            <w:tcW w:w="2045" w:type="dxa"/>
          </w:tcPr>
          <w:p w14:paraId="58FC069D" w14:textId="77777777" w:rsidR="005C0931" w:rsidRDefault="00000000">
            <w:r>
              <w:t>Functional correctness and tool adequacy</w:t>
            </w:r>
          </w:p>
        </w:tc>
        <w:tc>
          <w:tcPr>
            <w:tcW w:w="2045" w:type="dxa"/>
          </w:tcPr>
          <w:p w14:paraId="57969850" w14:textId="77777777" w:rsidR="005C0931" w:rsidRDefault="00000000">
            <w:r>
              <w:t>[1], [2], [3], [4]</w:t>
            </w:r>
          </w:p>
        </w:tc>
        <w:tc>
          <w:tcPr>
            <w:tcW w:w="2045" w:type="dxa"/>
          </w:tcPr>
          <w:p w14:paraId="475E28C0" w14:textId="77777777" w:rsidR="005C0931" w:rsidRDefault="00000000">
            <w:r>
              <w:t>Correctness varies by tool, language and task; pass/fail success is not a full CQTD proxy.</w:t>
            </w:r>
          </w:p>
        </w:tc>
        <w:tc>
          <w:tcPr>
            <w:tcW w:w="2045" w:type="dxa"/>
          </w:tcPr>
          <w:p w14:paraId="024E38FA" w14:textId="77777777" w:rsidR="005C0931" w:rsidRDefault="00000000">
            <w:r>
              <w:t>High</w:t>
            </w:r>
          </w:p>
        </w:tc>
        <w:tc>
          <w:tcPr>
            <w:tcW w:w="2045" w:type="dxa"/>
          </w:tcPr>
          <w:p w14:paraId="0DEC7F87" w14:textId="77777777" w:rsidR="005C0931" w:rsidRDefault="00000000">
            <w:r>
              <w:t>Do not generalise benchmark success into overall quality.</w:t>
            </w:r>
          </w:p>
        </w:tc>
      </w:tr>
      <w:tr w:rsidR="005C0931" w14:paraId="45EA8FC3" w14:textId="77777777">
        <w:trPr>
          <w:jc w:val="center"/>
        </w:trPr>
        <w:tc>
          <w:tcPr>
            <w:tcW w:w="2045" w:type="dxa"/>
          </w:tcPr>
          <w:p w14:paraId="233FBF99" w14:textId="77777777" w:rsidR="005C0931" w:rsidRDefault="00000000">
            <w:r>
              <w:t>Benchmark reliability and practical realism</w:t>
            </w:r>
          </w:p>
        </w:tc>
        <w:tc>
          <w:tcPr>
            <w:tcW w:w="2045" w:type="dxa"/>
          </w:tcPr>
          <w:p w14:paraId="5FA607E1" w14:textId="77777777" w:rsidR="005C0931" w:rsidRDefault="00000000">
            <w:r>
              <w:t>[5], [6], [7], [8], [9]</w:t>
            </w:r>
          </w:p>
        </w:tc>
        <w:tc>
          <w:tcPr>
            <w:tcW w:w="2045" w:type="dxa"/>
          </w:tcPr>
          <w:p w14:paraId="7F891E86" w14:textId="77777777" w:rsidR="005C0931" w:rsidRDefault="00000000">
            <w:r>
              <w:t>Executable, evolution-aware, mutation-based, contract-aware and multi-turn evaluations expose overestimation.</w:t>
            </w:r>
          </w:p>
        </w:tc>
        <w:tc>
          <w:tcPr>
            <w:tcW w:w="2045" w:type="dxa"/>
          </w:tcPr>
          <w:p w14:paraId="4A64E813" w14:textId="77777777" w:rsidR="005C0931" w:rsidRDefault="00000000">
            <w:r>
              <w:t>High</w:t>
            </w:r>
          </w:p>
        </w:tc>
        <w:tc>
          <w:tcPr>
            <w:tcW w:w="2045" w:type="dxa"/>
          </w:tcPr>
          <w:p w14:paraId="1C28023D" w14:textId="77777777" w:rsidR="005C0931" w:rsidRDefault="00000000">
            <w:r>
              <w:t>Effect sizes are not directly poolable because oracle designs differ.</w:t>
            </w:r>
          </w:p>
        </w:tc>
      </w:tr>
      <w:tr w:rsidR="005C0931" w14:paraId="0CFE5732" w14:textId="77777777">
        <w:trPr>
          <w:jc w:val="center"/>
        </w:trPr>
        <w:tc>
          <w:tcPr>
            <w:tcW w:w="2045" w:type="dxa"/>
          </w:tcPr>
          <w:p w14:paraId="529A0F1E" w14:textId="77777777" w:rsidR="005C0931" w:rsidRDefault="00000000">
            <w:r>
              <w:t>Prompt non-determinism and robustness</w:t>
            </w:r>
          </w:p>
        </w:tc>
        <w:tc>
          <w:tcPr>
            <w:tcW w:w="2045" w:type="dxa"/>
          </w:tcPr>
          <w:p w14:paraId="7B42E596" w14:textId="77777777" w:rsidR="005C0931" w:rsidRDefault="00000000">
            <w:r>
              <w:t>[10], [11], [7]</w:t>
            </w:r>
          </w:p>
        </w:tc>
        <w:tc>
          <w:tcPr>
            <w:tcW w:w="2045" w:type="dxa"/>
          </w:tcPr>
          <w:p w14:paraId="506E96B7" w14:textId="77777777" w:rsidR="005C0931" w:rsidRDefault="00000000">
            <w:r>
              <w:t>Repeated or perturbed prompts can produce semantically different outputs and unstable pass rates.</w:t>
            </w:r>
          </w:p>
        </w:tc>
        <w:tc>
          <w:tcPr>
            <w:tcW w:w="2045" w:type="dxa"/>
          </w:tcPr>
          <w:p w14:paraId="3D98C19F" w14:textId="77777777" w:rsidR="005C0931" w:rsidRDefault="00000000">
            <w:r>
              <w:t>High</w:t>
            </w:r>
          </w:p>
        </w:tc>
        <w:tc>
          <w:tcPr>
            <w:tcW w:w="2045" w:type="dxa"/>
          </w:tcPr>
          <w:p w14:paraId="2848D41E" w14:textId="77777777" w:rsidR="005C0931" w:rsidRDefault="00000000">
            <w:r>
              <w:t>Requires repeated sampling; single-run comparisons should be down-weighted.</w:t>
            </w:r>
          </w:p>
        </w:tc>
      </w:tr>
      <w:tr w:rsidR="005C0931" w14:paraId="52351B46" w14:textId="77777777">
        <w:trPr>
          <w:jc w:val="center"/>
        </w:trPr>
        <w:tc>
          <w:tcPr>
            <w:tcW w:w="2045" w:type="dxa"/>
          </w:tcPr>
          <w:p w14:paraId="1463D9E8" w14:textId="77777777" w:rsidR="005C0931" w:rsidRDefault="00000000">
            <w:r>
              <w:t>Security vulnerability generation and detection</w:t>
            </w:r>
          </w:p>
        </w:tc>
        <w:tc>
          <w:tcPr>
            <w:tcW w:w="2045" w:type="dxa"/>
          </w:tcPr>
          <w:p w14:paraId="55AB4A5C" w14:textId="77777777" w:rsidR="005C0931" w:rsidRDefault="00000000">
            <w:r>
              <w:t>[12], [13], [14], [15], [16]</w:t>
            </w:r>
          </w:p>
        </w:tc>
        <w:tc>
          <w:tcPr>
            <w:tcW w:w="2045" w:type="dxa"/>
          </w:tcPr>
          <w:p w14:paraId="2750844A" w14:textId="77777777" w:rsidR="005C0931" w:rsidRDefault="00000000">
            <w:r>
              <w:t>Generated-code security is model-, task-, language- and benchmark-dependent; self-auditing is unreliable.</w:t>
            </w:r>
          </w:p>
        </w:tc>
        <w:tc>
          <w:tcPr>
            <w:tcW w:w="2045" w:type="dxa"/>
          </w:tcPr>
          <w:p w14:paraId="56EFCEB1" w14:textId="77777777" w:rsidR="005C0931" w:rsidRDefault="00000000">
            <w:r>
              <w:t>High</w:t>
            </w:r>
          </w:p>
        </w:tc>
        <w:tc>
          <w:tcPr>
            <w:tcW w:w="2045" w:type="dxa"/>
          </w:tcPr>
          <w:p w14:paraId="48D944E7" w14:textId="77777777" w:rsidR="005C0931" w:rsidRDefault="00000000">
            <w:r>
              <w:t>Security claims need external vulnerability assessment, not just model ranking.</w:t>
            </w:r>
          </w:p>
        </w:tc>
      </w:tr>
      <w:tr w:rsidR="005C0931" w14:paraId="7486CC5B" w14:textId="77777777">
        <w:trPr>
          <w:jc w:val="center"/>
        </w:trPr>
        <w:tc>
          <w:tcPr>
            <w:tcW w:w="2045" w:type="dxa"/>
          </w:tcPr>
          <w:p w14:paraId="5A641F99" w14:textId="77777777" w:rsidR="005C0931" w:rsidRDefault="00000000">
            <w:r>
              <w:t>Maintainability, code smells and technical debt</w:t>
            </w:r>
          </w:p>
        </w:tc>
        <w:tc>
          <w:tcPr>
            <w:tcW w:w="2045" w:type="dxa"/>
          </w:tcPr>
          <w:p w14:paraId="4E1D223F" w14:textId="77777777" w:rsidR="005C0931" w:rsidRDefault="00000000">
            <w:r>
              <w:t>[3], [4], [18], [30], [29]</w:t>
            </w:r>
          </w:p>
        </w:tc>
        <w:tc>
          <w:tcPr>
            <w:tcW w:w="2045" w:type="dxa"/>
          </w:tcPr>
          <w:p w14:paraId="4EB7B9C8" w14:textId="77777777" w:rsidR="005C0931" w:rsidRDefault="00000000">
            <w:r>
              <w:t>Maintainability issues persist even when generated code compiles or passes tests.</w:t>
            </w:r>
          </w:p>
        </w:tc>
        <w:tc>
          <w:tcPr>
            <w:tcW w:w="2045" w:type="dxa"/>
          </w:tcPr>
          <w:p w14:paraId="795F00E6" w14:textId="77777777" w:rsidR="005C0931" w:rsidRDefault="00000000">
            <w:r>
              <w:t>High</w:t>
            </w:r>
          </w:p>
        </w:tc>
        <w:tc>
          <w:tcPr>
            <w:tcW w:w="2045" w:type="dxa"/>
          </w:tcPr>
          <w:p w14:paraId="4CB27030" w14:textId="77777777" w:rsidR="005C0931" w:rsidRDefault="00000000">
            <w:r>
              <w:t>Maintainability indicators are heterogeneous; use as convergent warning, not pooled metric.</w:t>
            </w:r>
          </w:p>
        </w:tc>
      </w:tr>
      <w:tr w:rsidR="005C0931" w14:paraId="1416E428" w14:textId="77777777">
        <w:trPr>
          <w:jc w:val="center"/>
        </w:trPr>
        <w:tc>
          <w:tcPr>
            <w:tcW w:w="2045" w:type="dxa"/>
          </w:tcPr>
          <w:p w14:paraId="725AC6FA" w14:textId="77777777" w:rsidR="005C0931" w:rsidRDefault="00000000">
            <w:r>
              <w:t>Repair, refinement and APR loops</w:t>
            </w:r>
          </w:p>
        </w:tc>
        <w:tc>
          <w:tcPr>
            <w:tcW w:w="2045" w:type="dxa"/>
          </w:tcPr>
          <w:p w14:paraId="1F9051D8" w14:textId="77777777" w:rsidR="005C0931" w:rsidRDefault="00000000">
            <w:r>
              <w:t>[17], [18], [19], [20], [21]</w:t>
            </w:r>
          </w:p>
        </w:tc>
        <w:tc>
          <w:tcPr>
            <w:tcW w:w="2045" w:type="dxa"/>
          </w:tcPr>
          <w:p w14:paraId="7EA08A08" w14:textId="77777777" w:rsidR="005C0931" w:rsidRDefault="00000000">
            <w:r>
              <w:t>Feedback, peer guidance and repair prompts improve outcomes but remain bounded by task complexity.</w:t>
            </w:r>
          </w:p>
        </w:tc>
        <w:tc>
          <w:tcPr>
            <w:tcW w:w="2045" w:type="dxa"/>
          </w:tcPr>
          <w:p w14:paraId="6FDC4871" w14:textId="77777777" w:rsidR="005C0931" w:rsidRDefault="00000000">
            <w:r>
              <w:t>High</w:t>
            </w:r>
          </w:p>
        </w:tc>
        <w:tc>
          <w:tcPr>
            <w:tcW w:w="2045" w:type="dxa"/>
          </w:tcPr>
          <w:p w14:paraId="70D41AD9" w14:textId="77777777" w:rsidR="005C0931" w:rsidRDefault="00000000">
            <w:r>
              <w:t>Treat repair as mitigation; do not present it as autonomous quality control.</w:t>
            </w:r>
          </w:p>
        </w:tc>
      </w:tr>
      <w:tr w:rsidR="005C0931" w14:paraId="5CB4FDFF" w14:textId="77777777">
        <w:trPr>
          <w:jc w:val="center"/>
        </w:trPr>
        <w:tc>
          <w:tcPr>
            <w:tcW w:w="2045" w:type="dxa"/>
          </w:tcPr>
          <w:p w14:paraId="4D3B869B" w14:textId="77777777" w:rsidR="005C0931" w:rsidRDefault="00000000">
            <w:r>
              <w:t>Multi-bug, API misuse and regression risk</w:t>
            </w:r>
          </w:p>
        </w:tc>
        <w:tc>
          <w:tcPr>
            <w:tcW w:w="2045" w:type="dxa"/>
          </w:tcPr>
          <w:p w14:paraId="7FA7CB5C" w14:textId="77777777" w:rsidR="005C0931" w:rsidRDefault="00000000">
            <w:r>
              <w:t>[22], [23], [24]</w:t>
            </w:r>
          </w:p>
        </w:tc>
        <w:tc>
          <w:tcPr>
            <w:tcW w:w="2045" w:type="dxa"/>
          </w:tcPr>
          <w:p w14:paraId="63318D91" w14:textId="77777777" w:rsidR="005C0931" w:rsidRDefault="00000000">
            <w:r>
              <w:t>Models may miss interacting faults, API misuse and vulnerability semantics.</w:t>
            </w:r>
          </w:p>
        </w:tc>
        <w:tc>
          <w:tcPr>
            <w:tcW w:w="2045" w:type="dxa"/>
          </w:tcPr>
          <w:p w14:paraId="7F10EB55" w14:textId="77777777" w:rsidR="005C0931" w:rsidRDefault="00000000">
            <w:r>
              <w:t>Moderate</w:t>
            </w:r>
          </w:p>
        </w:tc>
        <w:tc>
          <w:tcPr>
            <w:tcW w:w="2045" w:type="dxa"/>
          </w:tcPr>
          <w:p w14:paraId="47211F27" w14:textId="77777777" w:rsidR="005C0931" w:rsidRDefault="00000000">
            <w:r>
              <w:t>Useful for qualifying iterative-refinement claims; evidence remains task-specific.</w:t>
            </w:r>
          </w:p>
        </w:tc>
      </w:tr>
      <w:tr w:rsidR="005C0931" w14:paraId="5454A7FA" w14:textId="77777777">
        <w:trPr>
          <w:jc w:val="center"/>
        </w:trPr>
        <w:tc>
          <w:tcPr>
            <w:tcW w:w="2045" w:type="dxa"/>
          </w:tcPr>
          <w:p w14:paraId="26810FE2" w14:textId="77777777" w:rsidR="005C0931" w:rsidRDefault="00000000">
            <w:r>
              <w:t>Human validation, accessibility and domain semantics</w:t>
            </w:r>
          </w:p>
        </w:tc>
        <w:tc>
          <w:tcPr>
            <w:tcW w:w="2045" w:type="dxa"/>
          </w:tcPr>
          <w:p w14:paraId="404B0853" w14:textId="77777777" w:rsidR="005C0931" w:rsidRDefault="00000000">
            <w:r>
              <w:t>[25], [26], [27], [28], [31]</w:t>
            </w:r>
          </w:p>
        </w:tc>
        <w:tc>
          <w:tcPr>
            <w:tcW w:w="2045" w:type="dxa"/>
          </w:tcPr>
          <w:p w14:paraId="198B2CF9" w14:textId="77777777" w:rsidR="005C0931" w:rsidRDefault="00000000">
            <w:r>
              <w:t>Developers must validate timing, explanations, accessibility, domain meaning and generated tests.</w:t>
            </w:r>
          </w:p>
        </w:tc>
        <w:tc>
          <w:tcPr>
            <w:tcW w:w="2045" w:type="dxa"/>
          </w:tcPr>
          <w:p w14:paraId="0B49179D" w14:textId="77777777" w:rsidR="005C0931" w:rsidRDefault="00000000">
            <w:r>
              <w:t>Moderate</w:t>
            </w:r>
          </w:p>
        </w:tc>
        <w:tc>
          <w:tcPr>
            <w:tcW w:w="2045" w:type="dxa"/>
          </w:tcPr>
          <w:p w14:paraId="0E1B9CA2" w14:textId="77777777" w:rsidR="005C0931" w:rsidRDefault="00000000">
            <w:r>
              <w:t>Human review burden is clear, but time-cost evidence is thin.</w:t>
            </w:r>
          </w:p>
        </w:tc>
      </w:tr>
    </w:tbl>
    <w:p w14:paraId="4EBCF357" w14:textId="77777777" w:rsidR="005C0931" w:rsidRDefault="00000000">
      <w:pPr>
        <w:pStyle w:val="Heading1"/>
      </w:pPr>
      <w:r>
        <w:lastRenderedPageBreak/>
        <w:t>2. Consolidated analytical narrative</w:t>
      </w:r>
    </w:p>
    <w:p w14:paraId="41D0426C" w14:textId="77777777" w:rsidR="005C0931" w:rsidRDefault="00000000">
      <w:r>
        <w:t>The SUPPORT corpus adds three kinds of evidence to the CQTD argument: breadth, methodological triangulation and scope extension. Its breadth comes from studies that examine correctness, maintainability, reliability, security, repair and human validation rather than treating generated code quality as a single pass/fail construct. Tool-comparison studies show that Copilot, CodeWhisperer, Tabnine, ChatGPT and other systems differ across functional adequacy, reliability and maintainability, and that no single tool can be described as uniformly superior across languages or metrics [1], [4]. This broadens CQTD from immediate task completion to a multi-attribute risk profile.</w:t>
      </w:r>
    </w:p>
    <w:p w14:paraId="6D90FFB3" w14:textId="77777777" w:rsidR="005C0931" w:rsidRDefault="00000000">
      <w:r>
        <w:t>The main methodological contribution is triangulation against benchmark optimism. Executable Java tasks, evolution-aware repository changes, mutation-based reassessment, contract satisfaction and multi-turn code-diff generation all show that ordinary benchmark success is an incomplete proxy for practical quality [5], [6], [7], [8], [9]. The common mechanism is narrow oracles: visible tests and static tasks reward syntactic completion and local correctness while underweighting project evolution, behavioural contracts, weak tests, security side-effects and interaction history. Reproducibility studies strengthen this warning because identical prompts and semantics-preserving perturbations can yield different outputs, unstable pass rates and reduced robustness [10], [11].</w:t>
      </w:r>
    </w:p>
    <w:p w14:paraId="6EAE6764" w14:textId="77777777" w:rsidR="005C0931" w:rsidRDefault="00000000">
      <w:r>
        <w:t>The first strong empirical claim is that passing tests does not establish low technical-debt risk. Liu et al. show that ChatGPT-generated programs can pass tests while retaining maintainability and security defects, and Li et al. generalise the separation between correctness, reliability and maintainability across languages and tools [3], [4]. Hansson et al. and Yetiştiren et al. add direct tool-comparison evidence: generated solutions may be correct for some tasks, yet quality assessment still exposes problems beyond functional adequacy [2], [1]. Confidence is high because this pattern appears across benchmark, static-analysis and comparative designs.</w:t>
      </w:r>
    </w:p>
    <w:p w14:paraId="33C160CA" w14:textId="77777777" w:rsidR="005C0931" w:rsidRDefault="00000000">
      <w:r>
        <w:t>The second strong claim is that AI-generated code shifts CQTD effort from initial production towards validation, correction and trust calibration. Security papers show that plausible web, PHP, C, Python and C++ artefacts can contain vulnerabilities, and that vulnerability detection varies by model, class and setting [12], [14], [15], [16]. Human-validation studies show that proactive assistants, accessibility support and exam-style generation are useful only when users can inspect, accept, revert, test or revise outputs [25], [27], [28]. Confidence is high for the existence of the validation burden, but moderate for its magnitude because few studies measure review time directly.</w:t>
      </w:r>
    </w:p>
    <w:p w14:paraId="1CAAE9CB" w14:textId="77777777" w:rsidR="005C0931" w:rsidRDefault="00000000">
      <w:r>
        <w:t>The third strong claim is that repair loops are useful but bounded. JavaScript vulnerability repair, quality-aware prompting, BloomAPR, Defects4J-style repair and peer-aided student repair all show that structured feedback can improve generated outputs [17], [18], [19], [20], [21]. Yet multi-bug debugging, API misuse correction and vulnerability-reasoning studies show that models may fix visible symptoms while missing interacting faults or security semantics [22], [23], [24]. Confidence is high for repair as mitigation, but only moderate for claims about dependable autonomous repair.</w:t>
      </w:r>
    </w:p>
    <w:p w14:paraId="63D7E45D" w14:textId="77777777" w:rsidR="005C0931" w:rsidRDefault="00000000">
      <w:r>
        <w:t>Three limitations should constrain Phase 3 use. First, the SUPPORT corpus is methodologically heterogeneous: task sets, languages, vulnerability taxonomies, static-analysis tools and quality metrics differ substantially, so numerical findings should not be pooled without careful normalisation. Second, the corpus is still short-horizon and benchmark-heavy. It identifies defect risk, benchmark overestimation and validation burden, but rarely follows generated code through production maintenance, review queues or downstream incidents. Third, some important CQTD mechanisms remain under-specified: the corpus does not yet define the minimum human-review protocol needed to convert generated code into maintainable production code, nor does it provide a common model linking correctness, maintainability, reliability and security into one technical-debt trajectory.</w:t>
      </w:r>
    </w:p>
    <w:p w14:paraId="6C60B8E5" w14:textId="77777777" w:rsidR="005C0931" w:rsidRDefault="00000000">
      <w:r>
        <w:t>Consequently, SUPPORT evidence qualifies the CQTD argument in a precise way. Claims that become stronger are those stating that generated-code quality is multi-dimensional, that benchmark pass rates overestimate practical readiness, and that independent validation is necessary. Claims that become more conditional are comparative rankings between models or tools, because rankings change across task family, language, oracle and quality dimension [32], [4]. Claims that remain unresolved concern long-term debt accumulation, human validation cost and whether improved repair loops reduce or merely relocate maintenance burden. Phase 3 should therefore use NB2 as a triangulation layer: it should not replace CORE evidence, but it should test how far CORE claims survive more realistic, repeated, security-aware and human-mediated evaluation.</w:t>
      </w:r>
    </w:p>
    <w:p w14:paraId="55A225B9" w14:textId="77777777" w:rsidR="005C0931" w:rsidRDefault="00000000">
      <w:pPr>
        <w:pStyle w:val="Heading1"/>
      </w:pPr>
      <w:r>
        <w:lastRenderedPageBreak/>
        <w:t>3. Phase 3 integration notes</w:t>
      </w:r>
    </w:p>
    <w:tbl>
      <w:tblPr>
        <w:tblStyle w:val="TableGrid"/>
        <w:tblW w:w="0" w:type="auto"/>
        <w:jc w:val="center"/>
        <w:tblLook w:val="04A0" w:firstRow="1" w:lastRow="0" w:firstColumn="1" w:lastColumn="0" w:noHBand="0" w:noVBand="1"/>
      </w:tblPr>
      <w:tblGrid>
        <w:gridCol w:w="2556"/>
        <w:gridCol w:w="2556"/>
        <w:gridCol w:w="2556"/>
        <w:gridCol w:w="2556"/>
      </w:tblGrid>
      <w:tr w:rsidR="005C0931" w14:paraId="343753D5" w14:textId="77777777">
        <w:trPr>
          <w:jc w:val="center"/>
        </w:trPr>
        <w:tc>
          <w:tcPr>
            <w:tcW w:w="2556" w:type="dxa"/>
            <w:shd w:val="clear" w:color="auto" w:fill="D9EAF7"/>
          </w:tcPr>
          <w:p w14:paraId="488DFFDA" w14:textId="77777777" w:rsidR="005C0931" w:rsidRDefault="00000000">
            <w:r>
              <w:rPr>
                <w:b/>
              </w:rPr>
              <w:t>Note ID</w:t>
            </w:r>
          </w:p>
        </w:tc>
        <w:tc>
          <w:tcPr>
            <w:tcW w:w="2556" w:type="dxa"/>
            <w:shd w:val="clear" w:color="auto" w:fill="D9EAF7"/>
          </w:tcPr>
          <w:p w14:paraId="0A9D1947" w14:textId="77777777" w:rsidR="005C0931" w:rsidRDefault="00000000">
            <w:r>
              <w:rPr>
                <w:b/>
              </w:rPr>
              <w:t>Recommendation</w:t>
            </w:r>
          </w:p>
        </w:tc>
        <w:tc>
          <w:tcPr>
            <w:tcW w:w="2556" w:type="dxa"/>
            <w:shd w:val="clear" w:color="auto" w:fill="D9EAF7"/>
          </w:tcPr>
          <w:p w14:paraId="47DF6C6B" w14:textId="77777777" w:rsidR="005C0931" w:rsidRDefault="00000000">
            <w:r>
              <w:rPr>
                <w:b/>
              </w:rPr>
              <w:t>Relevant SUPPORT bibkeys</w:t>
            </w:r>
          </w:p>
        </w:tc>
        <w:tc>
          <w:tcPr>
            <w:tcW w:w="2556" w:type="dxa"/>
            <w:shd w:val="clear" w:color="auto" w:fill="D9EAF7"/>
          </w:tcPr>
          <w:p w14:paraId="614F247A" w14:textId="77777777" w:rsidR="005C0931" w:rsidRDefault="00000000">
            <w:r>
              <w:rPr>
                <w:b/>
              </w:rPr>
              <w:t>Integration risk</w:t>
            </w:r>
          </w:p>
        </w:tc>
      </w:tr>
      <w:tr w:rsidR="005C0931" w14:paraId="774CB3E9" w14:textId="77777777">
        <w:trPr>
          <w:jc w:val="center"/>
        </w:trPr>
        <w:tc>
          <w:tcPr>
            <w:tcW w:w="2556" w:type="dxa"/>
          </w:tcPr>
          <w:p w14:paraId="4997E15A" w14:textId="77777777" w:rsidR="005C0931" w:rsidRDefault="00000000">
            <w:r>
              <w:t>N1</w:t>
            </w:r>
          </w:p>
        </w:tc>
        <w:tc>
          <w:tcPr>
            <w:tcW w:w="2556" w:type="dxa"/>
          </w:tcPr>
          <w:p w14:paraId="62AD24C4" w14:textId="77777777" w:rsidR="005C0931" w:rsidRDefault="00000000">
            <w:r>
              <w:t>Use benchmark-realism papers to qualify any CORE claim based on pass@k or visible tests; phrase as benchmark success under a specific oracle, not production quality.</w:t>
            </w:r>
          </w:p>
        </w:tc>
        <w:tc>
          <w:tcPr>
            <w:tcW w:w="2556" w:type="dxa"/>
          </w:tcPr>
          <w:p w14:paraId="276862B3" w14:textId="77777777" w:rsidR="005C0931" w:rsidRDefault="00000000">
            <w:r>
              <w:t>zeng_coderujb_2024; zheng_humanevo_2025; wang_benchmarking_2025; lim_contracteval_2026</w:t>
            </w:r>
          </w:p>
        </w:tc>
        <w:tc>
          <w:tcPr>
            <w:tcW w:w="2556" w:type="dxa"/>
          </w:tcPr>
          <w:p w14:paraId="6A9F2B4A" w14:textId="77777777" w:rsidR="005C0931" w:rsidRDefault="00000000">
            <w:r>
              <w:t>Low</w:t>
            </w:r>
          </w:p>
        </w:tc>
      </w:tr>
      <w:tr w:rsidR="005C0931" w14:paraId="4DC36B4A" w14:textId="77777777">
        <w:trPr>
          <w:jc w:val="center"/>
        </w:trPr>
        <w:tc>
          <w:tcPr>
            <w:tcW w:w="2556" w:type="dxa"/>
          </w:tcPr>
          <w:p w14:paraId="549EDF6A" w14:textId="77777777" w:rsidR="005C0931" w:rsidRDefault="00000000">
            <w:r>
              <w:t>N2</w:t>
            </w:r>
          </w:p>
        </w:tc>
        <w:tc>
          <w:tcPr>
            <w:tcW w:w="2556" w:type="dxa"/>
          </w:tcPr>
          <w:p w14:paraId="6DEDC364" w14:textId="77777777" w:rsidR="005C0931" w:rsidRDefault="00000000">
            <w:r>
              <w:t>When CORE reports correctness gains, add a CQTD caveat that correctness, maintainability, reliability and security diverge.</w:t>
            </w:r>
          </w:p>
        </w:tc>
        <w:tc>
          <w:tcPr>
            <w:tcW w:w="2556" w:type="dxa"/>
          </w:tcPr>
          <w:p w14:paraId="556DC405" w14:textId="77777777" w:rsidR="005C0931" w:rsidRDefault="00000000">
            <w:r>
              <w:t>liu_no_2024; li_multi-dimensional_2026; yetistiren_evaluating_2023</w:t>
            </w:r>
          </w:p>
        </w:tc>
        <w:tc>
          <w:tcPr>
            <w:tcW w:w="2556" w:type="dxa"/>
          </w:tcPr>
          <w:p w14:paraId="6F05D4D9" w14:textId="77777777" w:rsidR="005C0931" w:rsidRDefault="00000000">
            <w:r>
              <w:t>Low</w:t>
            </w:r>
          </w:p>
        </w:tc>
      </w:tr>
      <w:tr w:rsidR="005C0931" w14:paraId="27CE5B38" w14:textId="77777777">
        <w:trPr>
          <w:jc w:val="center"/>
        </w:trPr>
        <w:tc>
          <w:tcPr>
            <w:tcW w:w="2556" w:type="dxa"/>
          </w:tcPr>
          <w:p w14:paraId="5CF7C36F" w14:textId="77777777" w:rsidR="005C0931" w:rsidRDefault="00000000">
            <w:r>
              <w:t>N3</w:t>
            </w:r>
          </w:p>
        </w:tc>
        <w:tc>
          <w:tcPr>
            <w:tcW w:w="2556" w:type="dxa"/>
          </w:tcPr>
          <w:p w14:paraId="28115317" w14:textId="77777777" w:rsidR="005C0931" w:rsidRDefault="00000000">
            <w:r>
              <w:t>Use security SUPPORT papers to argue that generated code requires independent security assessment before adoption.</w:t>
            </w:r>
          </w:p>
        </w:tc>
        <w:tc>
          <w:tcPr>
            <w:tcW w:w="2556" w:type="dxa"/>
          </w:tcPr>
          <w:p w14:paraId="3BAD640F" w14:textId="77777777" w:rsidR="005C0931" w:rsidRDefault="00000000">
            <w:r>
              <w:t>tihanyi_how_2025; dora_hidden_2025; cetin_empirical_2024; sabra_assessing_2025</w:t>
            </w:r>
          </w:p>
        </w:tc>
        <w:tc>
          <w:tcPr>
            <w:tcW w:w="2556" w:type="dxa"/>
          </w:tcPr>
          <w:p w14:paraId="05E470F7" w14:textId="77777777" w:rsidR="005C0931" w:rsidRDefault="00000000">
            <w:r>
              <w:t>Low</w:t>
            </w:r>
          </w:p>
        </w:tc>
      </w:tr>
      <w:tr w:rsidR="005C0931" w14:paraId="26589C0B" w14:textId="77777777">
        <w:trPr>
          <w:jc w:val="center"/>
        </w:trPr>
        <w:tc>
          <w:tcPr>
            <w:tcW w:w="2556" w:type="dxa"/>
          </w:tcPr>
          <w:p w14:paraId="328E429E" w14:textId="77777777" w:rsidR="005C0931" w:rsidRDefault="00000000">
            <w:r>
              <w:t>N4</w:t>
            </w:r>
          </w:p>
        </w:tc>
        <w:tc>
          <w:tcPr>
            <w:tcW w:w="2556" w:type="dxa"/>
          </w:tcPr>
          <w:p w14:paraId="169E87FC" w14:textId="77777777" w:rsidR="005C0931" w:rsidRDefault="00000000">
            <w:r>
              <w:t>Avoid ranking tools globally; integrate rankings only by task, language and quality dimension.</w:t>
            </w:r>
          </w:p>
        </w:tc>
        <w:tc>
          <w:tcPr>
            <w:tcW w:w="2556" w:type="dxa"/>
          </w:tcPr>
          <w:p w14:paraId="5AD38731" w14:textId="77777777" w:rsidR="005C0931" w:rsidRDefault="00000000">
            <w:r>
              <w:t>li_multi-dimensional_2026; chervyakov_mera_2025; yetistiren_evaluating_2023</w:t>
            </w:r>
          </w:p>
        </w:tc>
        <w:tc>
          <w:tcPr>
            <w:tcW w:w="2556" w:type="dxa"/>
          </w:tcPr>
          <w:p w14:paraId="7FF648ED" w14:textId="77777777" w:rsidR="005C0931" w:rsidRDefault="00000000">
            <w:r>
              <w:t>Medium</w:t>
            </w:r>
          </w:p>
        </w:tc>
      </w:tr>
      <w:tr w:rsidR="005C0931" w14:paraId="53E7DC33" w14:textId="77777777">
        <w:trPr>
          <w:jc w:val="center"/>
        </w:trPr>
        <w:tc>
          <w:tcPr>
            <w:tcW w:w="2556" w:type="dxa"/>
          </w:tcPr>
          <w:p w14:paraId="306713DC" w14:textId="77777777" w:rsidR="005C0931" w:rsidRDefault="00000000">
            <w:r>
              <w:t>N5</w:t>
            </w:r>
          </w:p>
        </w:tc>
        <w:tc>
          <w:tcPr>
            <w:tcW w:w="2556" w:type="dxa"/>
          </w:tcPr>
          <w:p w14:paraId="7D71ABCB" w14:textId="77777777" w:rsidR="005C0931" w:rsidRDefault="00000000">
            <w:r>
              <w:t>Use non-determinism and robustness evidence to require repeated generations, perturbation tests or confidence intervals in evaluation recommendations.</w:t>
            </w:r>
          </w:p>
        </w:tc>
        <w:tc>
          <w:tcPr>
            <w:tcW w:w="2556" w:type="dxa"/>
          </w:tcPr>
          <w:p w14:paraId="0CD898E3" w14:textId="77777777" w:rsidR="005C0931" w:rsidRDefault="00000000">
            <w:r>
              <w:t>ouyang_empirical_2024; rabbi_multi-language_2025; wang_benchmarking_2025</w:t>
            </w:r>
          </w:p>
        </w:tc>
        <w:tc>
          <w:tcPr>
            <w:tcW w:w="2556" w:type="dxa"/>
          </w:tcPr>
          <w:p w14:paraId="6C6E05F8" w14:textId="77777777" w:rsidR="005C0931" w:rsidRDefault="00000000">
            <w:r>
              <w:t>Low</w:t>
            </w:r>
          </w:p>
        </w:tc>
      </w:tr>
      <w:tr w:rsidR="005C0931" w14:paraId="25463057" w14:textId="77777777">
        <w:trPr>
          <w:jc w:val="center"/>
        </w:trPr>
        <w:tc>
          <w:tcPr>
            <w:tcW w:w="2556" w:type="dxa"/>
          </w:tcPr>
          <w:p w14:paraId="00F779F5" w14:textId="77777777" w:rsidR="005C0931" w:rsidRDefault="00000000">
            <w:r>
              <w:t>N6</w:t>
            </w:r>
          </w:p>
        </w:tc>
        <w:tc>
          <w:tcPr>
            <w:tcW w:w="2556" w:type="dxa"/>
          </w:tcPr>
          <w:p w14:paraId="310E4EEC" w14:textId="77777777" w:rsidR="005C0931" w:rsidRDefault="00000000">
            <w:r>
              <w:t>Frame repair loops as partial mitigation supported by feedback, tests, static analysis or peer guidance.</w:t>
            </w:r>
          </w:p>
        </w:tc>
        <w:tc>
          <w:tcPr>
            <w:tcW w:w="2556" w:type="dxa"/>
          </w:tcPr>
          <w:p w14:paraId="0CF67FF1" w14:textId="77777777" w:rsidR="005C0931" w:rsidRDefault="00000000">
            <w:r>
              <w:t>le_study_2024; liu_refining_2024; ma_bloomapr_2025; zhao_peer-aided_2026</w:t>
            </w:r>
          </w:p>
        </w:tc>
        <w:tc>
          <w:tcPr>
            <w:tcW w:w="2556" w:type="dxa"/>
          </w:tcPr>
          <w:p w14:paraId="6796F51C" w14:textId="77777777" w:rsidR="005C0931" w:rsidRDefault="00000000">
            <w:r>
              <w:t>Low</w:t>
            </w:r>
          </w:p>
        </w:tc>
      </w:tr>
      <w:tr w:rsidR="005C0931" w14:paraId="4776DADA" w14:textId="77777777">
        <w:trPr>
          <w:jc w:val="center"/>
        </w:trPr>
        <w:tc>
          <w:tcPr>
            <w:tcW w:w="2556" w:type="dxa"/>
          </w:tcPr>
          <w:p w14:paraId="10B950D3" w14:textId="77777777" w:rsidR="005C0931" w:rsidRDefault="00000000">
            <w:r>
              <w:t>N7</w:t>
            </w:r>
          </w:p>
        </w:tc>
        <w:tc>
          <w:tcPr>
            <w:tcW w:w="2556" w:type="dxa"/>
          </w:tcPr>
          <w:p w14:paraId="305E729D" w14:textId="77777777" w:rsidR="005C0931" w:rsidRDefault="00000000">
            <w:r>
              <w:t>Add a warning that iterative repair can preserve or introduce risk when faults interact or security semantics are missed.</w:t>
            </w:r>
          </w:p>
        </w:tc>
        <w:tc>
          <w:tcPr>
            <w:tcW w:w="2556" w:type="dxa"/>
          </w:tcPr>
          <w:p w14:paraId="325FC136" w14:textId="77777777" w:rsidR="005C0931" w:rsidRDefault="00000000">
            <w:r>
              <w:t>yang_why_2025; mondal_can_2025; steenhoek_err_2025</w:t>
            </w:r>
          </w:p>
        </w:tc>
        <w:tc>
          <w:tcPr>
            <w:tcW w:w="2556" w:type="dxa"/>
          </w:tcPr>
          <w:p w14:paraId="1E83F5BB" w14:textId="77777777" w:rsidR="005C0931" w:rsidRDefault="00000000">
            <w:r>
              <w:t>Medium</w:t>
            </w:r>
          </w:p>
        </w:tc>
      </w:tr>
      <w:tr w:rsidR="005C0931" w14:paraId="0880CEB4" w14:textId="77777777">
        <w:trPr>
          <w:jc w:val="center"/>
        </w:trPr>
        <w:tc>
          <w:tcPr>
            <w:tcW w:w="2556" w:type="dxa"/>
          </w:tcPr>
          <w:p w14:paraId="35B6C7D2" w14:textId="77777777" w:rsidR="005C0931" w:rsidRDefault="00000000">
            <w:r>
              <w:t>N8</w:t>
            </w:r>
          </w:p>
        </w:tc>
        <w:tc>
          <w:tcPr>
            <w:tcW w:w="2556" w:type="dxa"/>
          </w:tcPr>
          <w:p w14:paraId="401C88F9" w14:textId="77777777" w:rsidR="005C0931" w:rsidRDefault="00000000">
            <w:r>
              <w:t>Use human-validation evidence to connect CQTD with socio-technical review practices: accept, reject, revert, test and inspect generated changes.</w:t>
            </w:r>
          </w:p>
        </w:tc>
        <w:tc>
          <w:tcPr>
            <w:tcW w:w="2556" w:type="dxa"/>
          </w:tcPr>
          <w:p w14:paraId="21BF8F73" w14:textId="77777777" w:rsidR="005C0931" w:rsidRDefault="00000000">
            <w:r>
              <w:t>chen_need_2024; tosi_studying_2024; poldrack_ai-assisted_2023</w:t>
            </w:r>
          </w:p>
        </w:tc>
        <w:tc>
          <w:tcPr>
            <w:tcW w:w="2556" w:type="dxa"/>
          </w:tcPr>
          <w:p w14:paraId="4CEF0432" w14:textId="77777777" w:rsidR="005C0931" w:rsidRDefault="00000000">
            <w:r>
              <w:t>Medium</w:t>
            </w:r>
          </w:p>
        </w:tc>
      </w:tr>
      <w:tr w:rsidR="005C0931" w14:paraId="6A78F68F" w14:textId="77777777">
        <w:trPr>
          <w:jc w:val="center"/>
        </w:trPr>
        <w:tc>
          <w:tcPr>
            <w:tcW w:w="2556" w:type="dxa"/>
          </w:tcPr>
          <w:p w14:paraId="50868F61" w14:textId="77777777" w:rsidR="005C0931" w:rsidRDefault="00000000">
            <w:r>
              <w:t>N9</w:t>
            </w:r>
          </w:p>
        </w:tc>
        <w:tc>
          <w:tcPr>
            <w:tcW w:w="2556" w:type="dxa"/>
          </w:tcPr>
          <w:p w14:paraId="55375AB9" w14:textId="77777777" w:rsidR="005C0931" w:rsidRDefault="00000000">
            <w:r>
              <w:t>Treat accessibility and domain semantics as CQTD-adjacent validation requirements, not as generic correctness.</w:t>
            </w:r>
          </w:p>
        </w:tc>
        <w:tc>
          <w:tcPr>
            <w:tcW w:w="2556" w:type="dxa"/>
          </w:tcPr>
          <w:p w14:paraId="47A046EB" w14:textId="77777777" w:rsidR="005C0931" w:rsidRDefault="00000000">
            <w:r>
              <w:t>teran_how_2025; poldrack_ai-assisted_2023; hu_empirical_2025</w:t>
            </w:r>
          </w:p>
        </w:tc>
        <w:tc>
          <w:tcPr>
            <w:tcW w:w="2556" w:type="dxa"/>
          </w:tcPr>
          <w:p w14:paraId="6ACD8BCC" w14:textId="77777777" w:rsidR="005C0931" w:rsidRDefault="00000000">
            <w:r>
              <w:t>Medium</w:t>
            </w:r>
          </w:p>
        </w:tc>
      </w:tr>
      <w:tr w:rsidR="005C0931" w14:paraId="032E3436" w14:textId="77777777">
        <w:trPr>
          <w:jc w:val="center"/>
        </w:trPr>
        <w:tc>
          <w:tcPr>
            <w:tcW w:w="2556" w:type="dxa"/>
          </w:tcPr>
          <w:p w14:paraId="3D97CA0E" w14:textId="77777777" w:rsidR="005C0931" w:rsidRDefault="00000000">
            <w:r>
              <w:t>N10</w:t>
            </w:r>
          </w:p>
        </w:tc>
        <w:tc>
          <w:tcPr>
            <w:tcW w:w="2556" w:type="dxa"/>
          </w:tcPr>
          <w:p w14:paraId="032F4977" w14:textId="77777777" w:rsidR="005C0931" w:rsidRDefault="00000000">
            <w:r>
              <w:t>Identify longitudinal technical-debt accumulation as unresolved; do not claim SUPPORT proves downstream maintenance cost.</w:t>
            </w:r>
          </w:p>
        </w:tc>
        <w:tc>
          <w:tcPr>
            <w:tcW w:w="2556" w:type="dxa"/>
          </w:tcPr>
          <w:p w14:paraId="48220D8E" w14:textId="77777777" w:rsidR="005C0931" w:rsidRDefault="00000000">
            <w:r>
              <w:t>borg_does_2024; molison_is_2025; rawal_benchmarking_2025</w:t>
            </w:r>
          </w:p>
        </w:tc>
        <w:tc>
          <w:tcPr>
            <w:tcW w:w="2556" w:type="dxa"/>
          </w:tcPr>
          <w:p w14:paraId="5D6EEAAF" w14:textId="77777777" w:rsidR="005C0931" w:rsidRDefault="00000000">
            <w:r>
              <w:t>High</w:t>
            </w:r>
          </w:p>
        </w:tc>
      </w:tr>
    </w:tbl>
    <w:p w14:paraId="1E95C007" w14:textId="77777777" w:rsidR="005C0931" w:rsidRDefault="00000000">
      <w:pPr>
        <w:pStyle w:val="Heading1"/>
      </w:pPr>
      <w:r>
        <w:t>4. Cross-corpus papers list</w:t>
      </w:r>
    </w:p>
    <w:tbl>
      <w:tblPr>
        <w:tblStyle w:val="TableGrid"/>
        <w:tblW w:w="0" w:type="auto"/>
        <w:jc w:val="center"/>
        <w:tblLook w:val="04A0" w:firstRow="1" w:lastRow="0" w:firstColumn="1" w:lastColumn="0" w:noHBand="0" w:noVBand="1"/>
      </w:tblPr>
      <w:tblGrid>
        <w:gridCol w:w="3408"/>
        <w:gridCol w:w="3408"/>
        <w:gridCol w:w="3408"/>
      </w:tblGrid>
      <w:tr w:rsidR="005C0931" w14:paraId="196FC6DD" w14:textId="77777777">
        <w:trPr>
          <w:jc w:val="center"/>
        </w:trPr>
        <w:tc>
          <w:tcPr>
            <w:tcW w:w="3408" w:type="dxa"/>
            <w:shd w:val="clear" w:color="auto" w:fill="D9EAF7"/>
          </w:tcPr>
          <w:p w14:paraId="71F4A02A" w14:textId="77777777" w:rsidR="005C0931" w:rsidRDefault="00000000">
            <w:r>
              <w:rPr>
                <w:b/>
              </w:rPr>
              <w:t>SUPPORT paper</w:t>
            </w:r>
          </w:p>
        </w:tc>
        <w:tc>
          <w:tcPr>
            <w:tcW w:w="3408" w:type="dxa"/>
            <w:shd w:val="clear" w:color="auto" w:fill="D9EAF7"/>
          </w:tcPr>
          <w:p w14:paraId="50B15102" w14:textId="77777777" w:rsidR="005C0931" w:rsidRDefault="00000000">
            <w:r>
              <w:rPr>
                <w:b/>
              </w:rPr>
              <w:t>Phase 1 sub-topics touched</w:t>
            </w:r>
          </w:p>
        </w:tc>
        <w:tc>
          <w:tcPr>
            <w:tcW w:w="3408" w:type="dxa"/>
            <w:shd w:val="clear" w:color="auto" w:fill="D9EAF7"/>
          </w:tcPr>
          <w:p w14:paraId="3D7DAD57" w14:textId="77777777" w:rsidR="005C0931" w:rsidRDefault="00000000">
            <w:r>
              <w:rPr>
                <w:b/>
              </w:rPr>
              <w:t>Double-counting control note</w:t>
            </w:r>
          </w:p>
        </w:tc>
      </w:tr>
      <w:tr w:rsidR="005C0931" w14:paraId="69F3F622" w14:textId="77777777">
        <w:trPr>
          <w:jc w:val="center"/>
        </w:trPr>
        <w:tc>
          <w:tcPr>
            <w:tcW w:w="3408" w:type="dxa"/>
          </w:tcPr>
          <w:p w14:paraId="702CC11B" w14:textId="77777777" w:rsidR="005C0931" w:rsidRDefault="00000000">
            <w:r>
              <w:t>li_multi-dimensional_2026</w:t>
            </w:r>
          </w:p>
        </w:tc>
        <w:tc>
          <w:tcPr>
            <w:tcW w:w="3408" w:type="dxa"/>
          </w:tcPr>
          <w:p w14:paraId="7FF92B2E" w14:textId="77777777" w:rsidR="005C0931" w:rsidRDefault="00000000">
            <w:r>
              <w:t>Correctness, maintainability, reproducibility</w:t>
            </w:r>
          </w:p>
        </w:tc>
        <w:tc>
          <w:tcPr>
            <w:tcW w:w="3408" w:type="dxa"/>
          </w:tcPr>
          <w:p w14:paraId="14FA8604" w14:textId="77777777" w:rsidR="005C0931" w:rsidRDefault="00000000">
            <w:r>
              <w:t xml:space="preserve">Use once for divergence among quality dimensions; avoid counting the same </w:t>
            </w:r>
            <w:r>
              <w:lastRenderedPageBreak/>
              <w:t>multi-language evaluation as three independent confirmations.</w:t>
            </w:r>
          </w:p>
        </w:tc>
      </w:tr>
      <w:tr w:rsidR="005C0931" w14:paraId="47041563" w14:textId="77777777">
        <w:trPr>
          <w:jc w:val="center"/>
        </w:trPr>
        <w:tc>
          <w:tcPr>
            <w:tcW w:w="3408" w:type="dxa"/>
          </w:tcPr>
          <w:p w14:paraId="4F365669" w14:textId="77777777" w:rsidR="005C0931" w:rsidRDefault="00000000">
            <w:r>
              <w:lastRenderedPageBreak/>
              <w:t>liu_no_2024</w:t>
            </w:r>
          </w:p>
        </w:tc>
        <w:tc>
          <w:tcPr>
            <w:tcW w:w="3408" w:type="dxa"/>
          </w:tcPr>
          <w:p w14:paraId="729DCEBC" w14:textId="77777777" w:rsidR="005C0931" w:rsidRDefault="00000000">
            <w:r>
              <w:t>Correctness, maintainability, security</w:t>
            </w:r>
          </w:p>
        </w:tc>
        <w:tc>
          <w:tcPr>
            <w:tcW w:w="3408" w:type="dxa"/>
          </w:tcPr>
          <w:p w14:paraId="2B110546" w14:textId="77777777" w:rsidR="005C0931" w:rsidRDefault="00000000">
            <w:r>
              <w:t>Use for the correctness-quality gap; do not separately count each defect class as independent study-level evidence.</w:t>
            </w:r>
          </w:p>
        </w:tc>
      </w:tr>
      <w:tr w:rsidR="005C0931" w14:paraId="63B9080A" w14:textId="77777777">
        <w:trPr>
          <w:jc w:val="center"/>
        </w:trPr>
        <w:tc>
          <w:tcPr>
            <w:tcW w:w="3408" w:type="dxa"/>
          </w:tcPr>
          <w:p w14:paraId="02B55155" w14:textId="77777777" w:rsidR="005C0931" w:rsidRDefault="00000000">
            <w:r>
              <w:t>wang_benchmarking_2025</w:t>
            </w:r>
          </w:p>
        </w:tc>
        <w:tc>
          <w:tcPr>
            <w:tcW w:w="3408" w:type="dxa"/>
          </w:tcPr>
          <w:p w14:paraId="00FDDF9B" w14:textId="77777777" w:rsidR="005C0931" w:rsidRDefault="00000000">
            <w:r>
              <w:t>Correctness, reproducibility, benchmark reliability</w:t>
            </w:r>
          </w:p>
        </w:tc>
        <w:tc>
          <w:tcPr>
            <w:tcW w:w="3408" w:type="dxa"/>
          </w:tcPr>
          <w:p w14:paraId="2677F9DB" w14:textId="77777777" w:rsidR="005C0931" w:rsidRDefault="00000000">
            <w:r>
              <w:t>Use for oracle weakness and mutation-based reassessment; avoid double-counting as both correctness failure and evaluation-method failure.</w:t>
            </w:r>
          </w:p>
        </w:tc>
      </w:tr>
      <w:tr w:rsidR="005C0931" w14:paraId="11A1B88F" w14:textId="77777777">
        <w:trPr>
          <w:jc w:val="center"/>
        </w:trPr>
        <w:tc>
          <w:tcPr>
            <w:tcW w:w="3408" w:type="dxa"/>
          </w:tcPr>
          <w:p w14:paraId="4C764B40" w14:textId="77777777" w:rsidR="005C0931" w:rsidRDefault="00000000">
            <w:r>
              <w:t>lim_contracteval_2026</w:t>
            </w:r>
          </w:p>
        </w:tc>
        <w:tc>
          <w:tcPr>
            <w:tcW w:w="3408" w:type="dxa"/>
          </w:tcPr>
          <w:p w14:paraId="7131AFB6" w14:textId="77777777" w:rsidR="005C0931" w:rsidRDefault="00000000">
            <w:r>
              <w:t>Correctness, reproducibility, human validation</w:t>
            </w:r>
          </w:p>
        </w:tc>
        <w:tc>
          <w:tcPr>
            <w:tcW w:w="3408" w:type="dxa"/>
          </w:tcPr>
          <w:p w14:paraId="1A2ED4AD" w14:textId="77777777" w:rsidR="005C0931" w:rsidRDefault="00000000">
            <w:r>
              <w:t>Use for contract-aware validation; distinguish benchmark contribution from human-review implication.</w:t>
            </w:r>
          </w:p>
        </w:tc>
      </w:tr>
      <w:tr w:rsidR="005C0931" w14:paraId="07EC0118" w14:textId="77777777">
        <w:trPr>
          <w:jc w:val="center"/>
        </w:trPr>
        <w:tc>
          <w:tcPr>
            <w:tcW w:w="3408" w:type="dxa"/>
          </w:tcPr>
          <w:p w14:paraId="0431F2E9" w14:textId="77777777" w:rsidR="005C0931" w:rsidRDefault="00000000">
            <w:r>
              <w:t>rawal_benchmarking_2025</w:t>
            </w:r>
          </w:p>
        </w:tc>
        <w:tc>
          <w:tcPr>
            <w:tcW w:w="3408" w:type="dxa"/>
          </w:tcPr>
          <w:p w14:paraId="0B408786" w14:textId="77777777" w:rsidR="005C0931" w:rsidRDefault="00000000">
            <w:r>
              <w:t>Correctness, security, multi-turn reliability</w:t>
            </w:r>
          </w:p>
        </w:tc>
        <w:tc>
          <w:tcPr>
            <w:tcW w:w="3408" w:type="dxa"/>
          </w:tcPr>
          <w:p w14:paraId="459BDFF8" w14:textId="77777777" w:rsidR="005C0931" w:rsidRDefault="00000000">
            <w:r>
              <w:t>Use for multi-turn risk accumulation; do not treat correctness and security outcomes as independent corpora.</w:t>
            </w:r>
          </w:p>
        </w:tc>
      </w:tr>
      <w:tr w:rsidR="005C0931" w14:paraId="472E820A" w14:textId="77777777">
        <w:trPr>
          <w:jc w:val="center"/>
        </w:trPr>
        <w:tc>
          <w:tcPr>
            <w:tcW w:w="3408" w:type="dxa"/>
          </w:tcPr>
          <w:p w14:paraId="03F29A96" w14:textId="77777777" w:rsidR="005C0931" w:rsidRDefault="00000000">
            <w:r>
              <w:t>liu_refining_2024</w:t>
            </w:r>
          </w:p>
        </w:tc>
        <w:tc>
          <w:tcPr>
            <w:tcW w:w="3408" w:type="dxa"/>
          </w:tcPr>
          <w:p w14:paraId="0D212E0F" w14:textId="77777777" w:rsidR="005C0931" w:rsidRDefault="00000000">
            <w:r>
              <w:t>Maintainability, repair</w:t>
            </w:r>
          </w:p>
        </w:tc>
        <w:tc>
          <w:tcPr>
            <w:tcW w:w="3408" w:type="dxa"/>
          </w:tcPr>
          <w:p w14:paraId="4CF0A674" w14:textId="77777777" w:rsidR="005C0931" w:rsidRDefault="00000000">
            <w:r>
              <w:t>Use for mitigation through feedback; separate initial defect characterisation from repair-loop evidence.</w:t>
            </w:r>
          </w:p>
        </w:tc>
      </w:tr>
      <w:tr w:rsidR="005C0931" w14:paraId="7D1DC480" w14:textId="77777777">
        <w:trPr>
          <w:jc w:val="center"/>
        </w:trPr>
        <w:tc>
          <w:tcPr>
            <w:tcW w:w="3408" w:type="dxa"/>
          </w:tcPr>
          <w:p w14:paraId="5E3F8190" w14:textId="77777777" w:rsidR="005C0931" w:rsidRDefault="00000000">
            <w:r>
              <w:t>le_study_2024</w:t>
            </w:r>
          </w:p>
        </w:tc>
        <w:tc>
          <w:tcPr>
            <w:tcW w:w="3408" w:type="dxa"/>
          </w:tcPr>
          <w:p w14:paraId="455A598A" w14:textId="77777777" w:rsidR="005C0931" w:rsidRDefault="00000000">
            <w:r>
              <w:t>Security, repair, human validation</w:t>
            </w:r>
          </w:p>
        </w:tc>
        <w:tc>
          <w:tcPr>
            <w:tcW w:w="3408" w:type="dxa"/>
          </w:tcPr>
          <w:p w14:paraId="3629D003" w14:textId="77777777" w:rsidR="005C0931" w:rsidRDefault="00000000">
            <w:r>
              <w:t>Use for vulnerability repair; do not also count as general secure-generation evidence unless the claim is repair-specific.</w:t>
            </w:r>
          </w:p>
        </w:tc>
      </w:tr>
      <w:tr w:rsidR="005C0931" w14:paraId="3D8A0C95" w14:textId="77777777">
        <w:trPr>
          <w:jc w:val="center"/>
        </w:trPr>
        <w:tc>
          <w:tcPr>
            <w:tcW w:w="3408" w:type="dxa"/>
          </w:tcPr>
          <w:p w14:paraId="7A08524A" w14:textId="77777777" w:rsidR="005C0931" w:rsidRDefault="00000000">
            <w:r>
              <w:t>chen_need_2024</w:t>
            </w:r>
          </w:p>
        </w:tc>
        <w:tc>
          <w:tcPr>
            <w:tcW w:w="3408" w:type="dxa"/>
          </w:tcPr>
          <w:p w14:paraId="2C49E163" w14:textId="77777777" w:rsidR="005C0931" w:rsidRDefault="00000000">
            <w:r>
              <w:t>Correctness, human validation</w:t>
            </w:r>
          </w:p>
        </w:tc>
        <w:tc>
          <w:tcPr>
            <w:tcW w:w="3408" w:type="dxa"/>
          </w:tcPr>
          <w:p w14:paraId="29585A39" w14:textId="77777777" w:rsidR="005C0931" w:rsidRDefault="00000000">
            <w:r>
              <w:t>Use for proactive-assistant workflow and control mechanisms; avoid using it as a pure code-quality benchmark.</w:t>
            </w:r>
          </w:p>
        </w:tc>
      </w:tr>
      <w:tr w:rsidR="005C0931" w14:paraId="331326EB" w14:textId="77777777">
        <w:trPr>
          <w:jc w:val="center"/>
        </w:trPr>
        <w:tc>
          <w:tcPr>
            <w:tcW w:w="3408" w:type="dxa"/>
          </w:tcPr>
          <w:p w14:paraId="74117BBB" w14:textId="77777777" w:rsidR="005C0931" w:rsidRDefault="00000000">
            <w:r>
              <w:t>poldrack_ai-assisted_2023</w:t>
            </w:r>
          </w:p>
        </w:tc>
        <w:tc>
          <w:tcPr>
            <w:tcW w:w="3408" w:type="dxa"/>
          </w:tcPr>
          <w:p w14:paraId="5DC49956" w14:textId="77777777" w:rsidR="005C0931" w:rsidRDefault="00000000">
            <w:r>
              <w:t>Correctness, reproducibility, human validation</w:t>
            </w:r>
          </w:p>
        </w:tc>
        <w:tc>
          <w:tcPr>
            <w:tcW w:w="3408" w:type="dxa"/>
          </w:tcPr>
          <w:p w14:paraId="5A3B615E" w14:textId="77777777" w:rsidR="005C0931" w:rsidRDefault="00000000">
            <w:r>
              <w:t>Use for iterative scientific-programming workflow; distinguish workflow usefulness from autonomous correctness.</w:t>
            </w:r>
          </w:p>
        </w:tc>
      </w:tr>
      <w:tr w:rsidR="005C0931" w14:paraId="4751BAD3" w14:textId="77777777">
        <w:trPr>
          <w:jc w:val="center"/>
        </w:trPr>
        <w:tc>
          <w:tcPr>
            <w:tcW w:w="3408" w:type="dxa"/>
          </w:tcPr>
          <w:p w14:paraId="00C8E210" w14:textId="77777777" w:rsidR="005C0931" w:rsidRDefault="00000000">
            <w:r>
              <w:t>borg_does_2024</w:t>
            </w:r>
          </w:p>
        </w:tc>
        <w:tc>
          <w:tcPr>
            <w:tcW w:w="3408" w:type="dxa"/>
          </w:tcPr>
          <w:p w14:paraId="35952760" w14:textId="77777777" w:rsidR="005C0931" w:rsidRDefault="00000000">
            <w:r>
              <w:t>Maintainability, reproducibility</w:t>
            </w:r>
          </w:p>
        </w:tc>
        <w:tc>
          <w:tcPr>
            <w:tcW w:w="3408" w:type="dxa"/>
          </w:tcPr>
          <w:p w14:paraId="3614641F" w14:textId="77777777" w:rsidR="005C0931" w:rsidRDefault="00000000">
            <w:r>
              <w:t>Use as registered-report framing and maintainability measurement agenda; do not overstate as completed outcome evidence.</w:t>
            </w:r>
          </w:p>
        </w:tc>
      </w:tr>
    </w:tbl>
    <w:p w14:paraId="25790805" w14:textId="77777777" w:rsidR="005C0931" w:rsidRDefault="00000000">
      <w:pPr>
        <w:pStyle w:val="Heading1"/>
      </w:pPr>
      <w:r>
        <w:t>5. References</w:t>
      </w:r>
    </w:p>
    <w:p w14:paraId="2F3579B7" w14:textId="77777777" w:rsidR="005C0931" w:rsidRDefault="00000000">
      <w:r>
        <w:t>[1] Evaluating the Code Quality of AI-Assisted Code Generation Tools: An Empirical Study on GitHub Copilot, Amazon CodeWhisperer, and ChatGPT. Yeti\c stiren, Burak et al., 2023. Bibkey: yetistiren_evaluating_2023.</w:t>
      </w:r>
    </w:p>
    <w:p w14:paraId="318B296A" w14:textId="77777777" w:rsidR="005C0931" w:rsidRDefault="00000000">
      <w:r>
        <w:t>[2] Code Correctness and Quality in the Era of AI Code Generation. Hansson, Emilia et al., 2023. Bibkey: hansson_code_2023.</w:t>
      </w:r>
    </w:p>
    <w:p w14:paraId="42C0895F" w14:textId="77777777" w:rsidR="005C0931" w:rsidRDefault="00000000">
      <w:r>
        <w:t>[3] No Need to Lift a Finger Anymore? Assessing the Quality of Code Generation by ChatGPT. Liu, Zhijie et al., 2024. Bibkey: liu_no_2024.</w:t>
      </w:r>
    </w:p>
    <w:p w14:paraId="6F62CE63" w14:textId="77777777" w:rsidR="005C0931" w:rsidRDefault="00000000">
      <w:r>
        <w:t>[4] A Multi-Dimensional Quality Evaluation of Code Generated by LLM-Based Tools Across Multiple Programming Languages. Li, Ruimeng et al., 2026. Bibkey: li_multi-dimensional_2026.</w:t>
      </w:r>
    </w:p>
    <w:p w14:paraId="3C9493BE" w14:textId="77777777" w:rsidR="005C0931" w:rsidRDefault="00000000">
      <w:r>
        <w:t>[5] CoderUJB: An Executable and Unified Java Benchmark for Practical Programming Scenarios. Zeng, Zhengran et al., 2024. Bibkey: zeng_coderujb_2024.</w:t>
      </w:r>
    </w:p>
    <w:p w14:paraId="2AF4A988" w14:textId="77777777" w:rsidR="005C0931" w:rsidRDefault="00000000">
      <w:r>
        <w:t>[6] HumanEvo: An Evolution-aware Benchmark for More Realistic Evaluation of Repository-level Code Generation. Zheng, Dewu et al., 2025. Bibkey: zheng_humanevo_2025.</w:t>
      </w:r>
    </w:p>
    <w:p w14:paraId="07188127" w14:textId="77777777" w:rsidR="005C0931" w:rsidRDefault="00000000">
      <w:r>
        <w:t>[7] Benchmarking and Revisiting Code Generation Assessment: A Mutation-Based Approach. Wang, Longtian et al., 2025. Bibkey: wang_benchmarking_2025.</w:t>
      </w:r>
    </w:p>
    <w:p w14:paraId="521F783A" w14:textId="77777777" w:rsidR="005C0931" w:rsidRDefault="00000000">
      <w:r>
        <w:t>[8] ContractEval: A Benchmark for Evaluating Contract-Satisfying Assertions in Code Generation. Lim, Soohan et al., 2026. Bibkey: lim_contracteval_2026.</w:t>
      </w:r>
    </w:p>
    <w:p w14:paraId="1C5438B7" w14:textId="77777777" w:rsidR="005C0931" w:rsidRDefault="00000000">
      <w:r>
        <w:lastRenderedPageBreak/>
        <w:t>[9] Benchmarking Correctness and Security in Multi-Turn Code Generation. Rawal, Ruchit et al., 2025. Bibkey: rawal_benchmarking_2025.</w:t>
      </w:r>
    </w:p>
    <w:p w14:paraId="661090AE" w14:textId="77777777" w:rsidR="005C0931" w:rsidRDefault="00000000">
      <w:r>
        <w:t>[10] An Empirical Study of the Non-Determinism of ChatCPT in Code Generation. Ouyang, Shuyin et al., 2024. Bibkey: ouyang_empirical_2024.</w:t>
      </w:r>
    </w:p>
    <w:p w14:paraId="248B5900" w14:textId="77777777" w:rsidR="005C0931" w:rsidRDefault="00000000">
      <w:r>
        <w:t>[11] A Multi-Language Perspective on the Robustness of LLM Code Generation. Rabbi, Fazle et al., 2025. Bibkey: rabbi_multi-language_2025.</w:t>
      </w:r>
    </w:p>
    <w:p w14:paraId="10E21D29" w14:textId="77777777" w:rsidR="005C0931" w:rsidRDefault="00000000">
      <w:r>
        <w:t>[12] How Secure is AI-Generated Code: a Large-scale Comparison of Large Language Models. Tihanyi, Norbert et al., 2025. Bibkey: tihanyi_how_2025.</w:t>
      </w:r>
    </w:p>
    <w:p w14:paraId="4D855E4C" w14:textId="77777777" w:rsidR="005C0931" w:rsidRDefault="00000000">
      <w:r>
        <w:t>[13] Assessing the Quality and Security of AI-Generated Code: A Quantitative Analysis. Sabra, Abbas et al., 2025. Bibkey: sabra_assessing_2025.</w:t>
      </w:r>
    </w:p>
    <w:p w14:paraId="107F707D" w14:textId="77777777" w:rsidR="005C0931" w:rsidRDefault="00000000">
      <w:r>
        <w:t>[14] The Hidden Risks of LLM-Generated Web Application Code: A Security-Centric Evaluation of Code Generation Capabilities in Large Language Models. Dora, Swaroop et al., 2025. Bibkey: dora_hidden_2025.</w:t>
      </w:r>
    </w:p>
    <w:p w14:paraId="040B2DF3" w14:textId="77777777" w:rsidR="005C0931" w:rsidRDefault="00000000">
      <w:r>
        <w:t>[15] An Empirical Evaluation of Large Language Models in Static Code Analysis for PHP Vulnerability Detection. \c Cetin, Or\c cun et al., 2024. Bibkey: cetin_empirical_2024.</w:t>
      </w:r>
    </w:p>
    <w:p w14:paraId="3BEE8225" w14:textId="77777777" w:rsidR="005C0931" w:rsidRDefault="00000000">
      <w:r>
        <w:t>[16] Can LLMs Find Bugs in Code? An Evaluation from Beginner Errors to Security Vulnerabilities in Python and C++. Mhatre, Akshay et al., 2025. Bibkey: mhatre_can_2025.</w:t>
      </w:r>
    </w:p>
    <w:p w14:paraId="48038821" w14:textId="77777777" w:rsidR="005C0931" w:rsidRDefault="00000000">
      <w:r>
        <w:t>[17] A Study of Vulnerability Repair in JavaScript Programs with Large Language Models. Le, Tan Khang et al., 2024. Bibkey: le_study_2024.</w:t>
      </w:r>
    </w:p>
    <w:p w14:paraId="4A8A26CA" w14:textId="77777777" w:rsidR="005C0931" w:rsidRDefault="00000000">
      <w:r>
        <w:t>[18] Refining ChatGPT-Generated Code: Characterizing and Mitigating Code Quality Issues. Liu, Yue et al., 2024. Bibkey: liu_refining_2024.</w:t>
      </w:r>
    </w:p>
    <w:p w14:paraId="30FEF431" w14:textId="77777777" w:rsidR="005C0931" w:rsidRDefault="00000000">
      <w:r>
        <w:t>[19] BloomAPR: A Bloom's Taxonomy-based Framework for Assessing the Capabilities of LLM-Powered APR Solutions. Ma, Yinghang et al., 2025. Bibkey: ma_bloomapr_2025.</w:t>
      </w:r>
    </w:p>
    <w:p w14:paraId="3FEAC95A" w14:textId="77777777" w:rsidR="005C0931" w:rsidRDefault="00000000">
      <w:r>
        <w:t>[20] A Critical Review of Large Language Model on Software Engineering: An Example from ChatGPT and Automated Program Repair. Zhang, Quanjun et al., 2023. Bibkey: zhang_critical_2023.</w:t>
      </w:r>
    </w:p>
    <w:p w14:paraId="2D3B5B76" w14:textId="77777777" w:rsidR="005C0931" w:rsidRDefault="00000000">
      <w:r>
        <w:t>[21] Peer-Aided Repairer: Empowering Large Language Models to Repair Advanced Student Assignments. Zhao, Q. et al., 2026. Bibkey: zhao_peer-aided_2026.</w:t>
      </w:r>
    </w:p>
    <w:p w14:paraId="59308892" w14:textId="77777777" w:rsidR="005C0931" w:rsidRDefault="00000000">
      <w:r>
        <w:t>[22] Why Stop at One Error? Benchmarking LLMs as Data Science Code Debuggers for Multi-Hop and Multi-Bug Errors. Yang, Zhiyu et al., 2025. Bibkey: yang_why_2025.</w:t>
      </w:r>
    </w:p>
    <w:p w14:paraId="35F4268D" w14:textId="77777777" w:rsidR="005C0931" w:rsidRDefault="00000000">
      <w:r>
        <w:t>[23] Can We Trust the AI Pair Programmer? Copilot for API Misuse Detection and Correction. Mondal, Saikat et al., 2025. Bibkey: mondal_can_2025.</w:t>
      </w:r>
    </w:p>
    <w:p w14:paraId="7277BD12" w14:textId="77777777" w:rsidR="005C0931" w:rsidRDefault="00000000">
      <w:r>
        <w:t>[24] To Err is Machine: Vulnerability Detection Challenges LLM Reasoning. Steenhoek, Benjamin et al., 2025. Bibkey: steenhoek_err_2025.</w:t>
      </w:r>
    </w:p>
    <w:p w14:paraId="769D512C" w14:textId="77777777" w:rsidR="005C0931" w:rsidRDefault="00000000">
      <w:r>
        <w:t>[25] Need Help? Designing Proactive AI Assistants for Programming. Chen, Valerie et al., 2024. Bibkey: chen_need_2024.</w:t>
      </w:r>
    </w:p>
    <w:p w14:paraId="0C400C15" w14:textId="77777777" w:rsidR="005C0931" w:rsidRDefault="00000000">
      <w:r>
        <w:t>[26] An Empirical Study of Security Risks for the Web Code Generation by ChatGPT. Hu, Mingrui, 2025. Bibkey: hu_empirical_2025.</w:t>
      </w:r>
    </w:p>
    <w:p w14:paraId="101C484A" w14:textId="77777777" w:rsidR="005C0931" w:rsidRDefault="00000000">
      <w:r>
        <w:t xml:space="preserve">[27] How Can Copilot Assist in Creating Accessible Websites? </w:t>
      </w:r>
      <w:proofErr w:type="spellStart"/>
      <w:r w:rsidRPr="003A67AD">
        <w:rPr>
          <w:lang w:val="es-ES"/>
        </w:rPr>
        <w:t>An</w:t>
      </w:r>
      <w:proofErr w:type="spellEnd"/>
      <w:r w:rsidRPr="003A67AD">
        <w:rPr>
          <w:lang w:val="es-ES"/>
        </w:rPr>
        <w:t xml:space="preserve"> </w:t>
      </w:r>
      <w:proofErr w:type="spellStart"/>
      <w:r w:rsidRPr="003A67AD">
        <w:rPr>
          <w:lang w:val="es-ES"/>
        </w:rPr>
        <w:t>Empirical</w:t>
      </w:r>
      <w:proofErr w:type="spellEnd"/>
      <w:r w:rsidRPr="003A67AD">
        <w:rPr>
          <w:lang w:val="es-ES"/>
        </w:rPr>
        <w:t xml:space="preserve"> Study. Teran, Luciano A. et al., 2025. </w:t>
      </w:r>
      <w:proofErr w:type="spellStart"/>
      <w:r>
        <w:t>Bibkey</w:t>
      </w:r>
      <w:proofErr w:type="spellEnd"/>
      <w:r>
        <w:t>: teran_how_2025.</w:t>
      </w:r>
    </w:p>
    <w:p w14:paraId="280DFD60" w14:textId="77777777" w:rsidR="005C0931" w:rsidRDefault="00000000">
      <w:r>
        <w:t>[28] Studying the Quality of Source Code Generated by Different AI Generative Engines: An Empirical Evaluation. Tosi, Davide, 2024. Bibkey: tosi_studying_2024.</w:t>
      </w:r>
    </w:p>
    <w:p w14:paraId="3BBE1215" w14:textId="77777777" w:rsidR="005C0931" w:rsidRDefault="00000000">
      <w:r>
        <w:lastRenderedPageBreak/>
        <w:t>[29] Does Co-Development with AI Assistants Lead to More Maintainable Code? A Registered Report. Borg, Markus et al., 2024. Bibkey: borg_does_2024.</w:t>
      </w:r>
    </w:p>
    <w:p w14:paraId="05C8910A" w14:textId="77777777" w:rsidR="005C0931" w:rsidRDefault="00000000">
      <w:r>
        <w:t>[30] Is LLM-Generated Code More Maintainable &amp; Reliable Than Human-Written Code?. Molison, Alfred Santa et al., 2025. Bibkey: molison_is_2025.</w:t>
      </w:r>
    </w:p>
    <w:p w14:paraId="7A70E533" w14:textId="77777777" w:rsidR="005C0931" w:rsidRDefault="00000000">
      <w:r>
        <w:t>[31] AI-Assisted Coding: Experiments with GPT-4. Poldrack, Russell A et al., 2023. Bibkey: poldrack_ai-assisted_2023.</w:t>
      </w:r>
    </w:p>
    <w:p w14:paraId="5815DB0C" w14:textId="77777777" w:rsidR="005C0931" w:rsidRDefault="00000000">
      <w:r>
        <w:t>[32] MERA Code: A Unified Framework for Evaluating Code Generation Across Tasks. Chervyakov, Artem et al., 2025. Bibkey: chervyakov_mera_2025.</w:t>
      </w:r>
    </w:p>
    <w:p w14:paraId="59814F92" w14:textId="77777777" w:rsidR="005C0931" w:rsidRDefault="00000000">
      <w:r>
        <w:t>[33] Uncovering Weaknesses in Neural Code Generation. Lian, Xiaoli et al., 2024. Bibkey: lian_uncovering_2024.</w:t>
      </w:r>
    </w:p>
    <w:p w14:paraId="50D689AD" w14:textId="77777777" w:rsidR="005C0931" w:rsidRDefault="00000000">
      <w:r>
        <w:t>[34] Can You Really Trust Code Copilots? Evaluating Large Language Models from a Code Security Perspective. Mou, Yutao et al., 2025. Bibkey: mou_can_2025.</w:t>
      </w:r>
    </w:p>
    <w:p w14:paraId="516C926E" w14:textId="77777777" w:rsidR="005C0931" w:rsidRDefault="00000000">
      <w:r>
        <w:t>[35] Security Analysis of Automated Code Generation: Structural Vulnerabilities in AI-Generated. Kim, Hyun Jung et al., 2025. Bibkey: kim_security_2025.</w:t>
      </w:r>
    </w:p>
    <w:p w14:paraId="4D3A64F8" w14:textId="77777777" w:rsidR="005C0931" w:rsidRDefault="00000000">
      <w:r>
        <w:t>[36] How and Why LLMs Use Deprecated APIs in Code Completion? An Empirical Study. Wang, Chong et al., 2024. Bibkey: wang_how_and_2024.</w:t>
      </w:r>
    </w:p>
    <w:p w14:paraId="54406438" w14:textId="77777777" w:rsidR="005C0931" w:rsidRPr="003A67AD" w:rsidRDefault="00000000">
      <w:pPr>
        <w:rPr>
          <w:lang w:val="es-ES"/>
        </w:rPr>
      </w:pPr>
      <w:r>
        <w:t xml:space="preserve">[37] Coding with AI as an Assistant: Can AI Generate Concise Computer Code?. </w:t>
      </w:r>
      <w:r w:rsidRPr="003A67AD">
        <w:rPr>
          <w:lang w:val="es-ES"/>
        </w:rPr>
        <w:t xml:space="preserve">Millam, Andrew et al., 2024. </w:t>
      </w:r>
      <w:proofErr w:type="spellStart"/>
      <w:r w:rsidRPr="003A67AD">
        <w:rPr>
          <w:lang w:val="es-ES"/>
        </w:rPr>
        <w:t>Bibkey</w:t>
      </w:r>
      <w:proofErr w:type="spellEnd"/>
      <w:r w:rsidRPr="003A67AD">
        <w:rPr>
          <w:lang w:val="es-ES"/>
        </w:rPr>
        <w:t>: millam_coding_2024.</w:t>
      </w:r>
    </w:p>
    <w:p w14:paraId="4551A849" w14:textId="2726322A" w:rsidR="005C0931" w:rsidRPr="003A67AD" w:rsidRDefault="00000000">
      <w:pPr>
        <w:rPr>
          <w:lang w:val="es-ES"/>
        </w:rPr>
      </w:pPr>
      <w:r w:rsidRPr="003A67AD">
        <w:rPr>
          <w:lang w:val="es-ES"/>
        </w:rPr>
        <w:t xml:space="preserve">[38] Estudio Comparativo de Herramientas de </w:t>
      </w:r>
      <w:r w:rsidR="003A67AD" w:rsidRPr="003A67AD">
        <w:rPr>
          <w:lang w:val="es-ES"/>
        </w:rPr>
        <w:t>Generación de Código por IA: Evaluación de Calidad y Análisis de Desempeño.</w:t>
      </w:r>
      <w:r w:rsidRPr="003A67AD">
        <w:rPr>
          <w:lang w:val="es-ES"/>
        </w:rPr>
        <w:t xml:space="preserve"> </w:t>
      </w:r>
      <w:r w:rsidR="003A67AD">
        <w:rPr>
          <w:lang w:val="es-ES"/>
        </w:rPr>
        <w:t>Flórez Muñóz,</w:t>
      </w:r>
      <w:r w:rsidRPr="003A67AD">
        <w:rPr>
          <w:lang w:val="es-ES"/>
        </w:rPr>
        <w:t xml:space="preserve"> Michael A. et al., 2024. </w:t>
      </w:r>
      <w:proofErr w:type="spellStart"/>
      <w:r w:rsidRPr="003A67AD">
        <w:rPr>
          <w:lang w:val="es-ES"/>
        </w:rPr>
        <w:t>Bibkey</w:t>
      </w:r>
      <w:proofErr w:type="spellEnd"/>
      <w:r w:rsidRPr="003A67AD">
        <w:rPr>
          <w:lang w:val="es-ES"/>
        </w:rPr>
        <w:t>: florez_munoz_estudio_2024.</w:t>
      </w:r>
    </w:p>
    <w:p w14:paraId="68B1E098" w14:textId="77777777" w:rsidR="005C0931" w:rsidRDefault="00000000">
      <w:r>
        <w:t>[39] A Comparative Analysis between AI Generated Code and Human Written Code: A Preliminary Study. Patel, Abhi et al., 2024. Bibkey: patel_comparative_2024.</w:t>
      </w:r>
    </w:p>
    <w:p w14:paraId="0B020C86" w14:textId="09BFE1E6" w:rsidR="005C0931" w:rsidRDefault="00000000">
      <w:r>
        <w:t>[40] "You Still have to</w:t>
      </w:r>
      <w:r w:rsidR="003A67AD">
        <w:t xml:space="preserve"> </w:t>
      </w:r>
      <w:r>
        <w:t>Study" On the</w:t>
      </w:r>
      <w:r w:rsidR="003A67AD">
        <w:t xml:space="preserve"> </w:t>
      </w:r>
      <w:r>
        <w:t>Security of</w:t>
      </w:r>
      <w:r w:rsidR="003A67AD">
        <w:t xml:space="preserve"> </w:t>
      </w:r>
      <w:r>
        <w:t>LLM Generated Code. Schaad, Andreas et al., 2025. Bibkey: schaad_you_2025.</w:t>
      </w:r>
    </w:p>
    <w:p w14:paraId="68A73A55" w14:textId="77777777" w:rsidR="005C0931" w:rsidRDefault="00000000">
      <w:pPr>
        <w:pStyle w:val="Heading1"/>
      </w:pPr>
      <w:r>
        <w:t>6. Self-validation pass</w:t>
      </w:r>
    </w:p>
    <w:p w14:paraId="7275BDEB" w14:textId="77777777" w:rsidR="005C0931" w:rsidRDefault="00000000">
      <w:r>
        <w:t>All inline references in the narrative, tables and integration notes have matching entries in the References section.</w:t>
      </w:r>
    </w:p>
    <w:p w14:paraId="2A03E7EB" w14:textId="77777777" w:rsidR="005C0931" w:rsidRDefault="00000000">
      <w:r>
        <w:t>All cited bibkeys were checked against NB2_CQTD_Support.bib before drafting.</w:t>
      </w:r>
    </w:p>
    <w:p w14:paraId="72E4EC79" w14:textId="77777777" w:rsidR="005C0931" w:rsidRDefault="00000000">
      <w:r>
        <w:t>No NB1 CQTD CORE paper is cited.</w:t>
      </w:r>
    </w:p>
    <w:p w14:paraId="5350D072" w14:textId="77777777" w:rsidR="005C0931" w:rsidRDefault="00000000">
      <w:r>
        <w:t>References are ordered by first appearance and list only cited papers.</w:t>
      </w:r>
    </w:p>
    <w:p w14:paraId="5E59943B" w14:textId="77777777" w:rsidR="005C0931" w:rsidRDefault="00000000">
      <w:r>
        <w:t>Titles have BibTeX curly braces stripped.</w:t>
      </w:r>
    </w:p>
    <w:p w14:paraId="2D988E13" w14:textId="77777777" w:rsidR="005C0931" w:rsidRDefault="00000000">
      <w:r>
        <w:t>No single paper is used as an anchor for more than five substantive claims/items in the analytical narrative.</w:t>
      </w:r>
    </w:p>
    <w:p w14:paraId="508F454B" w14:textId="77777777" w:rsidR="005C0931" w:rsidRDefault="00000000">
      <w:r>
        <w:t>Phase 3 notes are actionable and identify integration risks.</w:t>
      </w:r>
    </w:p>
    <w:sectPr w:rsidR="005C0931"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460923">
    <w:abstractNumId w:val="8"/>
  </w:num>
  <w:num w:numId="2" w16cid:durableId="16273910">
    <w:abstractNumId w:val="6"/>
  </w:num>
  <w:num w:numId="3" w16cid:durableId="795491044">
    <w:abstractNumId w:val="5"/>
  </w:num>
  <w:num w:numId="4" w16cid:durableId="294679952">
    <w:abstractNumId w:val="4"/>
  </w:num>
  <w:num w:numId="5" w16cid:durableId="570388944">
    <w:abstractNumId w:val="7"/>
  </w:num>
  <w:num w:numId="6" w16cid:durableId="770781704">
    <w:abstractNumId w:val="3"/>
  </w:num>
  <w:num w:numId="7" w16cid:durableId="1253120778">
    <w:abstractNumId w:val="2"/>
  </w:num>
  <w:num w:numId="8" w16cid:durableId="2082949364">
    <w:abstractNumId w:val="1"/>
  </w:num>
  <w:num w:numId="9" w16cid:durableId="72432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7AD"/>
    <w:rsid w:val="005C0931"/>
    <w:rsid w:val="006015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C70D8"/>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2340</Words>
  <Characters>15799</Characters>
  <Application>Microsoft Office Word</Application>
  <DocSecurity>0</DocSecurity>
  <Lines>438</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2026-06-08T21:55:00Z</dcterms:modified>
  <cp:category/>
</cp:coreProperties>
</file>