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133E" w14:textId="77777777" w:rsidR="00D450E0" w:rsidRDefault="00000000">
      <w:pPr>
        <w:pStyle w:val="Title"/>
      </w:pPr>
      <w:r>
        <w:t>Phase 1.4 — NB3 HAI CORE: Developer Experience, Usability, and Perceived Value</w:t>
      </w:r>
    </w:p>
    <w:p w14:paraId="1E690F43" w14:textId="77777777" w:rsidR="00D450E0" w:rsidRDefault="00000000">
      <w:r>
        <w:t>Scope and safeguards. This artefact is grounded exclusively in the NB3_HAI_CORE corpus. Bibkeys were verified against NB3_HAI_CORE.bib before citation; quality tiers were taken from column S (Clasificación) of Relación de Estudios.xlsx; bibliographic titles, authors, and years were taken from NB3_HAI_CORE.csv through the Zotero key mapping. The requested bibkey mendes_youre_2024 was not present in NB3_HAI_CORE.bib and is therefore not cited.</w:t>
      </w:r>
    </w:p>
    <w:p w14:paraId="3F7B39BB" w14:textId="77777777" w:rsidR="00D450E0" w:rsidRDefault="00000000">
      <w:pPr>
        <w:pStyle w:val="Heading1"/>
      </w:pPr>
      <w:r>
        <w:t>1. Evidence matrix</w:t>
      </w:r>
    </w:p>
    <w:tbl>
      <w:tblPr>
        <w:tblStyle w:val="TableGrid"/>
        <w:tblW w:w="0" w:type="auto"/>
        <w:jc w:val="center"/>
        <w:tblLook w:val="04A0" w:firstRow="1" w:lastRow="0" w:firstColumn="1" w:lastColumn="0" w:noHBand="0" w:noVBand="1"/>
      </w:tblPr>
      <w:tblGrid>
        <w:gridCol w:w="1968"/>
        <w:gridCol w:w="874"/>
        <w:gridCol w:w="945"/>
        <w:gridCol w:w="1547"/>
        <w:gridCol w:w="1586"/>
        <w:gridCol w:w="1415"/>
        <w:gridCol w:w="1415"/>
        <w:gridCol w:w="1122"/>
      </w:tblGrid>
      <w:tr w:rsidR="00D450E0" w14:paraId="3DE18B69" w14:textId="77777777" w:rsidTr="000F2A66">
        <w:trPr>
          <w:jc w:val="center"/>
        </w:trPr>
        <w:tc>
          <w:tcPr>
            <w:tcW w:w="1968" w:type="dxa"/>
          </w:tcPr>
          <w:p w14:paraId="7562A434" w14:textId="77777777" w:rsidR="00D450E0" w:rsidRDefault="00000000">
            <w:r>
              <w:rPr>
                <w:sz w:val="14"/>
              </w:rPr>
              <w:t>Bibkey</w:t>
            </w:r>
          </w:p>
        </w:tc>
        <w:tc>
          <w:tcPr>
            <w:tcW w:w="874" w:type="dxa"/>
          </w:tcPr>
          <w:p w14:paraId="644266F5" w14:textId="77777777" w:rsidR="00D450E0" w:rsidRDefault="00000000">
            <w:r>
              <w:rPr>
                <w:sz w:val="14"/>
              </w:rPr>
              <w:t>Year</w:t>
            </w:r>
          </w:p>
        </w:tc>
        <w:tc>
          <w:tcPr>
            <w:tcW w:w="945" w:type="dxa"/>
          </w:tcPr>
          <w:p w14:paraId="6274BFCF" w14:textId="77777777" w:rsidR="00D450E0" w:rsidRDefault="00000000">
            <w:r>
              <w:rPr>
                <w:sz w:val="14"/>
              </w:rPr>
              <w:t>Quality tier</w:t>
            </w:r>
          </w:p>
        </w:tc>
        <w:tc>
          <w:tcPr>
            <w:tcW w:w="1547" w:type="dxa"/>
          </w:tcPr>
          <w:p w14:paraId="33EF5D3D" w14:textId="77777777" w:rsidR="00D450E0" w:rsidRDefault="00000000">
            <w:r>
              <w:rPr>
                <w:sz w:val="14"/>
              </w:rPr>
              <w:t>Key finding (own words)</w:t>
            </w:r>
          </w:p>
        </w:tc>
        <w:tc>
          <w:tcPr>
            <w:tcW w:w="1586" w:type="dxa"/>
          </w:tcPr>
          <w:p w14:paraId="00D8BC5D" w14:textId="77777777" w:rsidR="00D450E0" w:rsidRDefault="00000000">
            <w:r>
              <w:rPr>
                <w:sz w:val="14"/>
              </w:rPr>
              <w:t>Metric/value</w:t>
            </w:r>
          </w:p>
        </w:tc>
        <w:tc>
          <w:tcPr>
            <w:tcW w:w="1415" w:type="dxa"/>
          </w:tcPr>
          <w:p w14:paraId="15BEEF0A" w14:textId="77777777" w:rsidR="00D450E0" w:rsidRDefault="00000000">
            <w:r>
              <w:rPr>
                <w:sz w:val="14"/>
              </w:rPr>
              <w:t>Directionality</w:t>
            </w:r>
          </w:p>
        </w:tc>
        <w:tc>
          <w:tcPr>
            <w:tcW w:w="1415" w:type="dxa"/>
          </w:tcPr>
          <w:p w14:paraId="58E50F66" w14:textId="77777777" w:rsidR="00D450E0" w:rsidRDefault="00000000">
            <w:r>
              <w:rPr>
                <w:sz w:val="14"/>
              </w:rPr>
              <w:t>PDF section + page</w:t>
            </w:r>
          </w:p>
        </w:tc>
        <w:tc>
          <w:tcPr>
            <w:tcW w:w="1122" w:type="dxa"/>
          </w:tcPr>
          <w:p w14:paraId="668CAD4F" w14:textId="77777777" w:rsidR="00D450E0" w:rsidRDefault="00000000">
            <w:r>
              <w:rPr>
                <w:sz w:val="14"/>
              </w:rPr>
              <w:t>Experience dimension</w:t>
            </w:r>
          </w:p>
        </w:tc>
      </w:tr>
      <w:tr w:rsidR="00D450E0" w14:paraId="134E0B73" w14:textId="77777777" w:rsidTr="000F2A66">
        <w:trPr>
          <w:jc w:val="center"/>
        </w:trPr>
        <w:tc>
          <w:tcPr>
            <w:tcW w:w="1968" w:type="dxa"/>
          </w:tcPr>
          <w:p w14:paraId="10AE2193" w14:textId="77777777" w:rsidR="00D450E0" w:rsidRDefault="00000000">
            <w:r>
              <w:rPr>
                <w:sz w:val="14"/>
              </w:rPr>
              <w:t>zhang_demystifying_2023</w:t>
            </w:r>
          </w:p>
        </w:tc>
        <w:tc>
          <w:tcPr>
            <w:tcW w:w="874" w:type="dxa"/>
          </w:tcPr>
          <w:p w14:paraId="034AC37F" w14:textId="77777777" w:rsidR="00D450E0" w:rsidRDefault="00000000">
            <w:r>
              <w:rPr>
                <w:sz w:val="14"/>
              </w:rPr>
              <w:t>2023</w:t>
            </w:r>
          </w:p>
        </w:tc>
        <w:tc>
          <w:tcPr>
            <w:tcW w:w="945" w:type="dxa"/>
          </w:tcPr>
          <w:p w14:paraId="663A905D" w14:textId="77777777" w:rsidR="00D450E0" w:rsidRDefault="00000000">
            <w:r>
              <w:rPr>
                <w:sz w:val="14"/>
              </w:rPr>
              <w:t>A2</w:t>
            </w:r>
          </w:p>
        </w:tc>
        <w:tc>
          <w:tcPr>
            <w:tcW w:w="1547" w:type="dxa"/>
          </w:tcPr>
          <w:p w14:paraId="6FC12696" w14:textId="77777777" w:rsidR="00D450E0" w:rsidRDefault="00000000">
            <w:r>
              <w:rPr>
                <w:sz w:val="14"/>
              </w:rPr>
              <w:t>Practitioners used Copilot chiefly in VS Code for JavaScript/Python work and valued useful code generation, but reported integration difficulty and requests for more granular acceptance and accessibility features.</w:t>
            </w:r>
          </w:p>
        </w:tc>
        <w:tc>
          <w:tcPr>
            <w:tcW w:w="1586" w:type="dxa"/>
          </w:tcPr>
          <w:p w14:paraId="5FF2416D" w14:textId="77777777" w:rsidR="00D450E0" w:rsidRDefault="00000000">
            <w:r>
              <w:rPr>
                <w:sz w:val="14"/>
              </w:rPr>
              <w:t>303 Stack Overflow posts and 927 GitHub Discussions; 25 IDEs; VS Code dominant; JavaScript and Python each about one fifth; main benefit: useful code generation; main limitation: integration difficulty.</w:t>
            </w:r>
          </w:p>
        </w:tc>
        <w:tc>
          <w:tcPr>
            <w:tcW w:w="1415" w:type="dxa"/>
          </w:tcPr>
          <w:p w14:paraId="6BC4D307" w14:textId="77777777" w:rsidR="00D450E0" w:rsidRDefault="00000000">
            <w:r>
              <w:rPr>
                <w:sz w:val="14"/>
              </w:rPr>
              <w:t>Positive perceived value, constrained by integration/usability friction.</w:t>
            </w:r>
          </w:p>
        </w:tc>
        <w:tc>
          <w:tcPr>
            <w:tcW w:w="1415" w:type="dxa"/>
          </w:tcPr>
          <w:p w14:paraId="78E0AAFA" w14:textId="77777777" w:rsidR="00D450E0" w:rsidRDefault="00000000">
            <w:r>
              <w:rPr>
                <w:sz w:val="14"/>
              </w:rPr>
              <w:t>Section 4 Results, pp. 6-15; Section 5 Discussion, pp. 15-17</w:t>
            </w:r>
          </w:p>
        </w:tc>
        <w:tc>
          <w:tcPr>
            <w:tcW w:w="1122" w:type="dxa"/>
          </w:tcPr>
          <w:p w14:paraId="5E0C2757" w14:textId="77777777" w:rsidR="00D450E0" w:rsidRDefault="00000000">
            <w:r>
              <w:rPr>
                <w:sz w:val="14"/>
              </w:rPr>
              <w:t>usability / perceived productivity / accessibility</w:t>
            </w:r>
          </w:p>
        </w:tc>
      </w:tr>
      <w:tr w:rsidR="00D450E0" w14:paraId="3D3CBF31" w14:textId="77777777" w:rsidTr="000F2A66">
        <w:trPr>
          <w:jc w:val="center"/>
        </w:trPr>
        <w:tc>
          <w:tcPr>
            <w:tcW w:w="1968" w:type="dxa"/>
          </w:tcPr>
          <w:p w14:paraId="341A0243" w14:textId="77777777" w:rsidR="00D450E0" w:rsidRDefault="00000000">
            <w:r>
              <w:rPr>
                <w:sz w:val="14"/>
              </w:rPr>
              <w:t>davila_industry_2024</w:t>
            </w:r>
          </w:p>
        </w:tc>
        <w:tc>
          <w:tcPr>
            <w:tcW w:w="874" w:type="dxa"/>
          </w:tcPr>
          <w:p w14:paraId="64D582C1" w14:textId="77777777" w:rsidR="00D450E0" w:rsidRDefault="00000000">
            <w:r>
              <w:rPr>
                <w:sz w:val="14"/>
              </w:rPr>
              <w:t>2024</w:t>
            </w:r>
          </w:p>
        </w:tc>
        <w:tc>
          <w:tcPr>
            <w:tcW w:w="945" w:type="dxa"/>
          </w:tcPr>
          <w:p w14:paraId="6E060BB7" w14:textId="77777777" w:rsidR="00D450E0" w:rsidRDefault="00000000">
            <w:r>
              <w:rPr>
                <w:sz w:val="14"/>
              </w:rPr>
              <w:t>A2</w:t>
            </w:r>
          </w:p>
        </w:tc>
        <w:tc>
          <w:tcPr>
            <w:tcW w:w="1547" w:type="dxa"/>
          </w:tcPr>
          <w:p w14:paraId="78FC5101" w14:textId="77777777" w:rsidR="00D450E0" w:rsidRDefault="00000000">
            <w:r>
              <w:rPr>
                <w:sz w:val="14"/>
              </w:rPr>
              <w:t>In an industrial legacy-platform setting, practitioners mainly adopted ChatGPT and GitHub Copilot for daily work, but adoption depended on task fit, workflow embedding, confidentiality, and organisational context.</w:t>
            </w:r>
          </w:p>
        </w:tc>
        <w:tc>
          <w:tcPr>
            <w:tcW w:w="1586" w:type="dxa"/>
          </w:tcPr>
          <w:p w14:paraId="02BC985D" w14:textId="77777777" w:rsidR="00D450E0" w:rsidRDefault="00000000">
            <w:r>
              <w:rPr>
                <w:sz w:val="14"/>
              </w:rPr>
              <w:t>Industrial case study; survey/interview evidence across practitioners; RQs on perceived importance, adoption, and scenarios of use.</w:t>
            </w:r>
          </w:p>
        </w:tc>
        <w:tc>
          <w:tcPr>
            <w:tcW w:w="1415" w:type="dxa"/>
          </w:tcPr>
          <w:p w14:paraId="182DEB26" w14:textId="77777777" w:rsidR="00D450E0" w:rsidRDefault="00000000">
            <w:r>
              <w:rPr>
                <w:sz w:val="14"/>
              </w:rPr>
              <w:t>Positive adoption interest, conditional on work context and risk management.</w:t>
            </w:r>
          </w:p>
        </w:tc>
        <w:tc>
          <w:tcPr>
            <w:tcW w:w="1415" w:type="dxa"/>
          </w:tcPr>
          <w:p w14:paraId="34A2CF99" w14:textId="77777777" w:rsidR="00D450E0" w:rsidRDefault="00000000">
            <w:r>
              <w:rPr>
                <w:sz w:val="14"/>
              </w:rPr>
              <w:t>Section 4 Results, pp. 6-13; Section 5 Discussion, pp. 13-15</w:t>
            </w:r>
          </w:p>
        </w:tc>
        <w:tc>
          <w:tcPr>
            <w:tcW w:w="1122" w:type="dxa"/>
          </w:tcPr>
          <w:p w14:paraId="6502F34D" w14:textId="77777777" w:rsidR="00D450E0" w:rsidRDefault="00000000">
            <w:r>
              <w:rPr>
                <w:sz w:val="14"/>
              </w:rPr>
              <w:t>adoption intent / usability</w:t>
            </w:r>
          </w:p>
        </w:tc>
      </w:tr>
      <w:tr w:rsidR="00D450E0" w14:paraId="59D028D9" w14:textId="77777777" w:rsidTr="000F2A66">
        <w:trPr>
          <w:jc w:val="center"/>
        </w:trPr>
        <w:tc>
          <w:tcPr>
            <w:tcW w:w="1968" w:type="dxa"/>
          </w:tcPr>
          <w:p w14:paraId="5E7F9C0E" w14:textId="77777777" w:rsidR="00D450E0" w:rsidRDefault="00000000">
            <w:r>
              <w:rPr>
                <w:sz w:val="14"/>
              </w:rPr>
              <w:t>santos_model-assisted_2025</w:t>
            </w:r>
          </w:p>
        </w:tc>
        <w:tc>
          <w:tcPr>
            <w:tcW w:w="874" w:type="dxa"/>
          </w:tcPr>
          <w:p w14:paraId="6092BC72" w14:textId="77777777" w:rsidR="00D450E0" w:rsidRDefault="00000000">
            <w:r>
              <w:rPr>
                <w:sz w:val="14"/>
              </w:rPr>
              <w:t>2025</w:t>
            </w:r>
          </w:p>
        </w:tc>
        <w:tc>
          <w:tcPr>
            <w:tcW w:w="945" w:type="dxa"/>
          </w:tcPr>
          <w:p w14:paraId="785448D0" w14:textId="77777777" w:rsidR="00D450E0" w:rsidRDefault="00000000">
            <w:r>
              <w:rPr>
                <w:sz w:val="14"/>
              </w:rPr>
              <w:t>A2</w:t>
            </w:r>
          </w:p>
        </w:tc>
        <w:tc>
          <w:tcPr>
            <w:tcW w:w="1547" w:type="dxa"/>
          </w:tcPr>
          <w:p w14:paraId="547A46E0" w14:textId="77777777" w:rsidR="00D450E0" w:rsidRDefault="00000000">
            <w:r>
              <w:rPr>
                <w:sz w:val="14"/>
              </w:rPr>
              <w:t>Software professionals framed LLMs as model-assisted but human-guided tools: useful for code generation, explanation, refactoring, and learning, yet requiring developer judgement to manage vagueness, incorrectness, and context loss.</w:t>
            </w:r>
          </w:p>
        </w:tc>
        <w:tc>
          <w:tcPr>
            <w:tcW w:w="1586" w:type="dxa"/>
          </w:tcPr>
          <w:p w14:paraId="71FDEE31" w14:textId="77777777" w:rsidR="00D450E0" w:rsidRDefault="00000000">
            <w:r>
              <w:rPr>
                <w:sz w:val="14"/>
              </w:rPr>
              <w:t>Global survey of 131 software practitioners; thematic analysis of coding scenarios and perceived advantages/concerns.</w:t>
            </w:r>
          </w:p>
        </w:tc>
        <w:tc>
          <w:tcPr>
            <w:tcW w:w="1415" w:type="dxa"/>
          </w:tcPr>
          <w:p w14:paraId="35A7C071" w14:textId="77777777" w:rsidR="00D450E0" w:rsidRDefault="00000000">
            <w:r>
              <w:rPr>
                <w:sz w:val="14"/>
              </w:rPr>
              <w:t>Positive perceived productivity and learning value, moderated by verification burden.</w:t>
            </w:r>
          </w:p>
        </w:tc>
        <w:tc>
          <w:tcPr>
            <w:tcW w:w="1415" w:type="dxa"/>
          </w:tcPr>
          <w:p w14:paraId="7F8E8597" w14:textId="77777777" w:rsidR="00D450E0" w:rsidRDefault="00000000">
            <w:r>
              <w:rPr>
                <w:sz w:val="14"/>
              </w:rPr>
              <w:t>Section 4 Results, pp. 5-9; Section 5 Discussion, pp. 9-11</w:t>
            </w:r>
          </w:p>
        </w:tc>
        <w:tc>
          <w:tcPr>
            <w:tcW w:w="1122" w:type="dxa"/>
          </w:tcPr>
          <w:p w14:paraId="19A7EA31" w14:textId="77777777" w:rsidR="00D450E0" w:rsidRDefault="00000000">
            <w:r>
              <w:rPr>
                <w:sz w:val="14"/>
              </w:rPr>
              <w:t>perceived productivity / satisfaction / usability</w:t>
            </w:r>
          </w:p>
        </w:tc>
      </w:tr>
      <w:tr w:rsidR="00D450E0" w14:paraId="6120512F" w14:textId="77777777" w:rsidTr="000F2A66">
        <w:trPr>
          <w:jc w:val="center"/>
        </w:trPr>
        <w:tc>
          <w:tcPr>
            <w:tcW w:w="1968" w:type="dxa"/>
          </w:tcPr>
          <w:p w14:paraId="21BBFEE0" w14:textId="77777777" w:rsidR="00D450E0" w:rsidRDefault="00000000">
            <w:r>
              <w:rPr>
                <w:sz w:val="14"/>
              </w:rPr>
              <w:t>park_continuance_2025</w:t>
            </w:r>
          </w:p>
        </w:tc>
        <w:tc>
          <w:tcPr>
            <w:tcW w:w="874" w:type="dxa"/>
          </w:tcPr>
          <w:p w14:paraId="442D9C62" w14:textId="77777777" w:rsidR="00D450E0" w:rsidRDefault="00000000">
            <w:r>
              <w:rPr>
                <w:sz w:val="14"/>
              </w:rPr>
              <w:t>2025</w:t>
            </w:r>
          </w:p>
        </w:tc>
        <w:tc>
          <w:tcPr>
            <w:tcW w:w="945" w:type="dxa"/>
          </w:tcPr>
          <w:p w14:paraId="24D5409B" w14:textId="77777777" w:rsidR="00D450E0" w:rsidRDefault="00000000">
            <w:r>
              <w:rPr>
                <w:sz w:val="14"/>
              </w:rPr>
              <w:t>A2</w:t>
            </w:r>
          </w:p>
        </w:tc>
        <w:tc>
          <w:tcPr>
            <w:tcW w:w="1547" w:type="dxa"/>
          </w:tcPr>
          <w:p w14:paraId="241C4E75" w14:textId="77777777" w:rsidR="00D450E0" w:rsidRDefault="00000000">
            <w:r>
              <w:rPr>
                <w:sz w:val="14"/>
              </w:rPr>
              <w:t>Continuance use among South Korean industry developers was shaped less by novelty than by perceived usefulness, satisfaction, compatibility with workflow, and confidence that assistants improve coding work without excessive correction effort.</w:t>
            </w:r>
          </w:p>
        </w:tc>
        <w:tc>
          <w:tcPr>
            <w:tcW w:w="1586" w:type="dxa"/>
          </w:tcPr>
          <w:p w14:paraId="6CFA914E" w14:textId="77777777" w:rsidR="00D450E0" w:rsidRDefault="00000000">
            <w:r>
              <w:rPr>
                <w:sz w:val="14"/>
              </w:rPr>
              <w:t>Survey case study of industry developers; continuance-use model with perceived usefulness, satisfaction, compatibility, and intention constructs.</w:t>
            </w:r>
          </w:p>
        </w:tc>
        <w:tc>
          <w:tcPr>
            <w:tcW w:w="1415" w:type="dxa"/>
          </w:tcPr>
          <w:p w14:paraId="63A53D04" w14:textId="77777777" w:rsidR="00D450E0" w:rsidRDefault="00000000">
            <w:r>
              <w:rPr>
                <w:sz w:val="14"/>
              </w:rPr>
              <w:t>Positive continuance when usefulness and satisfaction outweigh correction costs.</w:t>
            </w:r>
          </w:p>
        </w:tc>
        <w:tc>
          <w:tcPr>
            <w:tcW w:w="1415" w:type="dxa"/>
          </w:tcPr>
          <w:p w14:paraId="5522C102" w14:textId="77777777" w:rsidR="00D450E0" w:rsidRDefault="00000000">
            <w:r>
              <w:rPr>
                <w:sz w:val="14"/>
              </w:rPr>
              <w:t>Section 4 Results, pp. 7-13; Section 5 Discussion, pp. 13-15</w:t>
            </w:r>
          </w:p>
        </w:tc>
        <w:tc>
          <w:tcPr>
            <w:tcW w:w="1122" w:type="dxa"/>
          </w:tcPr>
          <w:p w14:paraId="31533B8D" w14:textId="77777777" w:rsidR="00D450E0" w:rsidRDefault="00000000">
            <w:r>
              <w:rPr>
                <w:sz w:val="14"/>
              </w:rPr>
              <w:t>adoption intent / satisfaction / perceived productivity</w:t>
            </w:r>
          </w:p>
        </w:tc>
      </w:tr>
      <w:tr w:rsidR="00D450E0" w14:paraId="0A2F4807" w14:textId="77777777" w:rsidTr="000F2A66">
        <w:trPr>
          <w:jc w:val="center"/>
        </w:trPr>
        <w:tc>
          <w:tcPr>
            <w:tcW w:w="1968" w:type="dxa"/>
          </w:tcPr>
          <w:p w14:paraId="2FD7646C" w14:textId="77777777" w:rsidR="00D450E0" w:rsidRDefault="00000000">
            <w:r>
              <w:rPr>
                <w:sz w:val="14"/>
              </w:rPr>
              <w:t>zacharias_developers_2026</w:t>
            </w:r>
          </w:p>
        </w:tc>
        <w:tc>
          <w:tcPr>
            <w:tcW w:w="874" w:type="dxa"/>
          </w:tcPr>
          <w:p w14:paraId="75344FBC" w14:textId="77777777" w:rsidR="00D450E0" w:rsidRDefault="00000000">
            <w:r>
              <w:rPr>
                <w:sz w:val="14"/>
              </w:rPr>
              <w:t>2026</w:t>
            </w:r>
          </w:p>
        </w:tc>
        <w:tc>
          <w:tcPr>
            <w:tcW w:w="945" w:type="dxa"/>
          </w:tcPr>
          <w:p w14:paraId="72E3CA97" w14:textId="77777777" w:rsidR="00D450E0" w:rsidRDefault="00000000">
            <w:r>
              <w:rPr>
                <w:sz w:val="14"/>
              </w:rPr>
              <w:t>A2</w:t>
            </w:r>
          </w:p>
        </w:tc>
        <w:tc>
          <w:tcPr>
            <w:tcW w:w="1547" w:type="dxa"/>
          </w:tcPr>
          <w:p w14:paraId="27E00741" w14:textId="77777777" w:rsidR="00D450E0" w:rsidRDefault="00000000">
            <w:r>
              <w:rPr>
                <w:sz w:val="14"/>
              </w:rPr>
              <w:t xml:space="preserve">Expert interviews portrayed GenAI as simultaneously enhancing individual productivity and creativity while raising concerns about over-reliance, </w:t>
            </w:r>
            <w:r>
              <w:rPr>
                <w:sz w:val="14"/>
              </w:rPr>
              <w:lastRenderedPageBreak/>
              <w:t>skill degradation, homogenisation, and weakened interpersonal communication.</w:t>
            </w:r>
          </w:p>
        </w:tc>
        <w:tc>
          <w:tcPr>
            <w:tcW w:w="1586" w:type="dxa"/>
          </w:tcPr>
          <w:p w14:paraId="588320F4" w14:textId="77777777" w:rsidR="00D450E0" w:rsidRDefault="00000000">
            <w:r>
              <w:rPr>
                <w:sz w:val="14"/>
              </w:rPr>
              <w:lastRenderedPageBreak/>
              <w:t>30 expert interviews; Table 2 affordance model links GenAI effects to SDLC phases.</w:t>
            </w:r>
          </w:p>
        </w:tc>
        <w:tc>
          <w:tcPr>
            <w:tcW w:w="1415" w:type="dxa"/>
          </w:tcPr>
          <w:p w14:paraId="39941066" w14:textId="77777777" w:rsidR="00D450E0" w:rsidRDefault="00000000">
            <w:r>
              <w:rPr>
                <w:sz w:val="14"/>
              </w:rPr>
              <w:t>Ambivalent: productivity and creativity gains paired with long-term professional risks.</w:t>
            </w:r>
          </w:p>
        </w:tc>
        <w:tc>
          <w:tcPr>
            <w:tcW w:w="1415" w:type="dxa"/>
          </w:tcPr>
          <w:p w14:paraId="0045F825" w14:textId="77777777" w:rsidR="00D450E0" w:rsidRDefault="00000000">
            <w:r>
              <w:rPr>
                <w:sz w:val="14"/>
              </w:rPr>
              <w:t>Section 4 Results, pp. 7-15; Section 5 Discussion, pp. 15-18</w:t>
            </w:r>
          </w:p>
        </w:tc>
        <w:tc>
          <w:tcPr>
            <w:tcW w:w="1122" w:type="dxa"/>
          </w:tcPr>
          <w:p w14:paraId="174D43D0" w14:textId="77777777" w:rsidR="00D450E0" w:rsidRDefault="00000000">
            <w:r>
              <w:rPr>
                <w:sz w:val="14"/>
              </w:rPr>
              <w:t>perceived productivity / identity / adoption intent</w:t>
            </w:r>
          </w:p>
        </w:tc>
      </w:tr>
      <w:tr w:rsidR="00D450E0" w14:paraId="6DE01351" w14:textId="77777777" w:rsidTr="000F2A66">
        <w:trPr>
          <w:jc w:val="center"/>
        </w:trPr>
        <w:tc>
          <w:tcPr>
            <w:tcW w:w="1968" w:type="dxa"/>
          </w:tcPr>
          <w:p w14:paraId="52EADEA2" w14:textId="77777777" w:rsidR="00D450E0" w:rsidRDefault="00000000">
            <w:r>
              <w:rPr>
                <w:sz w:val="14"/>
              </w:rPr>
              <w:t>yu_evaluating_2026</w:t>
            </w:r>
          </w:p>
        </w:tc>
        <w:tc>
          <w:tcPr>
            <w:tcW w:w="874" w:type="dxa"/>
          </w:tcPr>
          <w:p w14:paraId="176BD1B0" w14:textId="77777777" w:rsidR="00D450E0" w:rsidRDefault="00000000">
            <w:r>
              <w:rPr>
                <w:sz w:val="14"/>
              </w:rPr>
              <w:t>2026</w:t>
            </w:r>
          </w:p>
        </w:tc>
        <w:tc>
          <w:tcPr>
            <w:tcW w:w="945" w:type="dxa"/>
          </w:tcPr>
          <w:p w14:paraId="1E581B04" w14:textId="77777777" w:rsidR="00D450E0" w:rsidRDefault="00000000">
            <w:r>
              <w:rPr>
                <w:sz w:val="14"/>
              </w:rPr>
              <w:t>A2</w:t>
            </w:r>
          </w:p>
        </w:tc>
        <w:tc>
          <w:tcPr>
            <w:tcW w:w="1547" w:type="dxa"/>
          </w:tcPr>
          <w:p w14:paraId="35112645" w14:textId="77777777" w:rsidR="00D450E0" w:rsidRDefault="00000000">
            <w:r>
              <w:rPr>
                <w:sz w:val="14"/>
              </w:rPr>
              <w:t>Industrial teams evaluating GenAI applications treated usability, reliability, satisfaction, and output specificity as quality dimensions, showing that developer experience becomes part of GenAI system evaluation rather than a secondary concern.</w:t>
            </w:r>
          </w:p>
        </w:tc>
        <w:tc>
          <w:tcPr>
            <w:tcW w:w="1586" w:type="dxa"/>
          </w:tcPr>
          <w:p w14:paraId="6DF5F949" w14:textId="77777777" w:rsidR="00D450E0" w:rsidRDefault="00000000">
            <w:r>
              <w:rPr>
                <w:sz w:val="14"/>
              </w:rPr>
              <w:t>Multi-case industrial study; 14 GenAI use cases and 28 quality metrics; workshops and interviews.</w:t>
            </w:r>
          </w:p>
        </w:tc>
        <w:tc>
          <w:tcPr>
            <w:tcW w:w="1415" w:type="dxa"/>
          </w:tcPr>
          <w:p w14:paraId="106945A8" w14:textId="77777777" w:rsidR="00D450E0" w:rsidRDefault="00000000">
            <w:r>
              <w:rPr>
                <w:sz w:val="14"/>
              </w:rPr>
              <w:t>Experience quality is necessary but difficult to measure consistently.</w:t>
            </w:r>
          </w:p>
        </w:tc>
        <w:tc>
          <w:tcPr>
            <w:tcW w:w="1415" w:type="dxa"/>
          </w:tcPr>
          <w:p w14:paraId="31A1F34E" w14:textId="77777777" w:rsidR="00D450E0" w:rsidRDefault="00000000">
            <w:r>
              <w:rPr>
                <w:sz w:val="14"/>
              </w:rPr>
              <w:t>Section 4 Results, pp. 8-18; Section 5 Discussion, pp. 18-22</w:t>
            </w:r>
          </w:p>
        </w:tc>
        <w:tc>
          <w:tcPr>
            <w:tcW w:w="1122" w:type="dxa"/>
          </w:tcPr>
          <w:p w14:paraId="2CFFD6CC" w14:textId="77777777" w:rsidR="00D450E0" w:rsidRDefault="00000000">
            <w:r>
              <w:rPr>
                <w:sz w:val="14"/>
              </w:rPr>
              <w:t>usability / satisfaction</w:t>
            </w:r>
          </w:p>
        </w:tc>
      </w:tr>
      <w:tr w:rsidR="00D450E0" w14:paraId="0253590E" w14:textId="77777777" w:rsidTr="000F2A66">
        <w:trPr>
          <w:jc w:val="center"/>
        </w:trPr>
        <w:tc>
          <w:tcPr>
            <w:tcW w:w="1968" w:type="dxa"/>
          </w:tcPr>
          <w:p w14:paraId="48520801" w14:textId="77777777" w:rsidR="00D450E0" w:rsidRDefault="00000000">
            <w:r>
              <w:rPr>
                <w:sz w:val="14"/>
              </w:rPr>
              <w:t>hicks_new_2024</w:t>
            </w:r>
          </w:p>
        </w:tc>
        <w:tc>
          <w:tcPr>
            <w:tcW w:w="874" w:type="dxa"/>
          </w:tcPr>
          <w:p w14:paraId="0E09F8B1" w14:textId="77777777" w:rsidR="00D450E0" w:rsidRDefault="00000000">
            <w:r>
              <w:rPr>
                <w:sz w:val="14"/>
              </w:rPr>
              <w:t>2024</w:t>
            </w:r>
          </w:p>
        </w:tc>
        <w:tc>
          <w:tcPr>
            <w:tcW w:w="945" w:type="dxa"/>
          </w:tcPr>
          <w:p w14:paraId="2F96481D" w14:textId="77777777" w:rsidR="00D450E0" w:rsidRDefault="00000000">
            <w:r>
              <w:rPr>
                <w:sz w:val="14"/>
              </w:rPr>
              <w:t>A2</w:t>
            </w:r>
          </w:p>
        </w:tc>
        <w:tc>
          <w:tcPr>
            <w:tcW w:w="1547" w:type="dxa"/>
          </w:tcPr>
          <w:p w14:paraId="335941A6" w14:textId="77777777" w:rsidR="00D450E0" w:rsidRDefault="00000000">
            <w:r>
              <w:rPr>
                <w:sz w:val="14"/>
              </w:rPr>
              <w:t>Developers’ transition to AI-assisted work included an identity threat: 43-45% showed worry, anxiety, or fear about whether current skills would remain sufficient, with learning culture and belonging reducing AI Skill Threat.</w:t>
            </w:r>
          </w:p>
        </w:tc>
        <w:tc>
          <w:tcPr>
            <w:tcW w:w="1586" w:type="dxa"/>
          </w:tcPr>
          <w:p w14:paraId="0238513A" w14:textId="77777777" w:rsidR="00D450E0" w:rsidRDefault="00000000">
            <w:r>
              <w:rPr>
                <w:sz w:val="14"/>
              </w:rPr>
              <w:t>Quantitative survey of professional developers; 1-5 Likert measures; 43-45% evidence of AI Skill Threat.</w:t>
            </w:r>
          </w:p>
        </w:tc>
        <w:tc>
          <w:tcPr>
            <w:tcW w:w="1415" w:type="dxa"/>
          </w:tcPr>
          <w:p w14:paraId="4590E254" w14:textId="77777777" w:rsidR="00D450E0" w:rsidRDefault="00000000">
            <w:r>
              <w:rPr>
                <w:sz w:val="14"/>
              </w:rPr>
              <w:t>Negative identity pressure, mitigated by learning culture and belonging.</w:t>
            </w:r>
          </w:p>
        </w:tc>
        <w:tc>
          <w:tcPr>
            <w:tcW w:w="1415" w:type="dxa"/>
          </w:tcPr>
          <w:p w14:paraId="62479C90" w14:textId="77777777" w:rsidR="00D450E0" w:rsidRDefault="00000000">
            <w:r>
              <w:rPr>
                <w:sz w:val="14"/>
              </w:rPr>
              <w:t>Results/Data highlights and Methods, pp. 1, 10-18; Discussion, pp. 19-23</w:t>
            </w:r>
          </w:p>
        </w:tc>
        <w:tc>
          <w:tcPr>
            <w:tcW w:w="1122" w:type="dxa"/>
          </w:tcPr>
          <w:p w14:paraId="704E2E4E" w14:textId="77777777" w:rsidR="00D450E0" w:rsidRDefault="00000000">
            <w:r>
              <w:rPr>
                <w:sz w:val="14"/>
              </w:rPr>
              <w:t>identity / satisfaction / adoption intent</w:t>
            </w:r>
          </w:p>
        </w:tc>
      </w:tr>
      <w:tr w:rsidR="00D450E0" w14:paraId="6173861B" w14:textId="77777777" w:rsidTr="000F2A66">
        <w:trPr>
          <w:jc w:val="center"/>
        </w:trPr>
        <w:tc>
          <w:tcPr>
            <w:tcW w:w="1968" w:type="dxa"/>
          </w:tcPr>
          <w:p w14:paraId="528C2528" w14:textId="77777777" w:rsidR="00D450E0" w:rsidRDefault="00000000">
            <w:r>
              <w:rPr>
                <w:sz w:val="14"/>
              </w:rPr>
              <w:t>misic_assessment_2024</w:t>
            </w:r>
          </w:p>
        </w:tc>
        <w:tc>
          <w:tcPr>
            <w:tcW w:w="874" w:type="dxa"/>
          </w:tcPr>
          <w:p w14:paraId="657A5CC7" w14:textId="77777777" w:rsidR="00D450E0" w:rsidRDefault="00000000">
            <w:r>
              <w:rPr>
                <w:sz w:val="14"/>
              </w:rPr>
              <w:t>2024</w:t>
            </w:r>
          </w:p>
        </w:tc>
        <w:tc>
          <w:tcPr>
            <w:tcW w:w="945" w:type="dxa"/>
          </w:tcPr>
          <w:p w14:paraId="224628B1" w14:textId="77777777" w:rsidR="00D450E0" w:rsidRDefault="00000000">
            <w:r>
              <w:rPr>
                <w:sz w:val="14"/>
              </w:rPr>
              <w:t>A2</w:t>
            </w:r>
          </w:p>
        </w:tc>
        <w:tc>
          <w:tcPr>
            <w:tcW w:w="1547" w:type="dxa"/>
          </w:tcPr>
          <w:p w14:paraId="7893E570" w14:textId="77777777" w:rsidR="00D450E0" w:rsidRDefault="00000000">
            <w:r>
              <w:rPr>
                <w:sz w:val="14"/>
              </w:rPr>
              <w:t>From a user perspective on OpenMP parallelisation, ChatGPT and Copilot could assist code transformation but required iterative prompting, compiler feedback, and human evaluation before acceptable performance and correctness were reached.</w:t>
            </w:r>
          </w:p>
        </w:tc>
        <w:tc>
          <w:tcPr>
            <w:tcW w:w="1586" w:type="dxa"/>
          </w:tcPr>
          <w:p w14:paraId="5CD60367" w14:textId="77777777" w:rsidR="00D450E0" w:rsidRDefault="00000000">
            <w:r>
              <w:rPr>
                <w:sz w:val="14"/>
              </w:rPr>
              <w:t>User-centred assessment of ChatGPT and GitHub Copilot for OpenMP code parallelisation; iterative correction with compiler/runtime feedback.</w:t>
            </w:r>
          </w:p>
        </w:tc>
        <w:tc>
          <w:tcPr>
            <w:tcW w:w="1415" w:type="dxa"/>
          </w:tcPr>
          <w:p w14:paraId="194D813A" w14:textId="77777777" w:rsidR="00D450E0" w:rsidRDefault="00000000">
            <w:r>
              <w:rPr>
                <w:sz w:val="14"/>
              </w:rPr>
              <w:t>Positive assistance for specialised tasks, but high usability and validation burden.</w:t>
            </w:r>
          </w:p>
        </w:tc>
        <w:tc>
          <w:tcPr>
            <w:tcW w:w="1415" w:type="dxa"/>
          </w:tcPr>
          <w:p w14:paraId="4D635CBF" w14:textId="77777777" w:rsidR="00D450E0" w:rsidRDefault="00000000">
            <w:r>
              <w:rPr>
                <w:sz w:val="14"/>
              </w:rPr>
              <w:t>Results and discussion on experiences, pp. 6-15</w:t>
            </w:r>
          </w:p>
        </w:tc>
        <w:tc>
          <w:tcPr>
            <w:tcW w:w="1122" w:type="dxa"/>
          </w:tcPr>
          <w:p w14:paraId="77E9DA95" w14:textId="77777777" w:rsidR="00D450E0" w:rsidRDefault="00000000">
            <w:r>
              <w:rPr>
                <w:sz w:val="14"/>
              </w:rPr>
              <w:t>usability / perceived productivity</w:t>
            </w:r>
          </w:p>
        </w:tc>
      </w:tr>
      <w:tr w:rsidR="00D450E0" w14:paraId="3EA9D289" w14:textId="77777777" w:rsidTr="000F2A66">
        <w:trPr>
          <w:jc w:val="center"/>
        </w:trPr>
        <w:tc>
          <w:tcPr>
            <w:tcW w:w="1968" w:type="dxa"/>
          </w:tcPr>
          <w:p w14:paraId="27EC9CF1" w14:textId="77777777" w:rsidR="00D450E0" w:rsidRDefault="00000000">
            <w:r>
              <w:rPr>
                <w:sz w:val="14"/>
              </w:rPr>
              <w:t>flores-saviaga_impact_2025</w:t>
            </w:r>
          </w:p>
        </w:tc>
        <w:tc>
          <w:tcPr>
            <w:tcW w:w="874" w:type="dxa"/>
          </w:tcPr>
          <w:p w14:paraId="3B4D88F1" w14:textId="77777777" w:rsidR="00D450E0" w:rsidRDefault="00000000">
            <w:r>
              <w:rPr>
                <w:sz w:val="14"/>
              </w:rPr>
              <w:t>2025</w:t>
            </w:r>
          </w:p>
        </w:tc>
        <w:tc>
          <w:tcPr>
            <w:tcW w:w="945" w:type="dxa"/>
          </w:tcPr>
          <w:p w14:paraId="288B52A7" w14:textId="77777777" w:rsidR="00D450E0" w:rsidRDefault="00000000">
            <w:r>
              <w:rPr>
                <w:sz w:val="14"/>
              </w:rPr>
              <w:t>A1</w:t>
            </w:r>
          </w:p>
        </w:tc>
        <w:tc>
          <w:tcPr>
            <w:tcW w:w="1547" w:type="dxa"/>
          </w:tcPr>
          <w:p w14:paraId="03EEA6FD" w14:textId="77777777" w:rsidR="00D450E0" w:rsidRDefault="00000000">
            <w:r>
              <w:rPr>
                <w:sz w:val="14"/>
              </w:rPr>
              <w:t>Developers who are visually impaired found AI coding assistants beneficial, yet the same tools created accessibility-specific burdens around navigation, debugging, interaction modality, and cognitive overload.</w:t>
            </w:r>
          </w:p>
        </w:tc>
        <w:tc>
          <w:tcPr>
            <w:tcW w:w="1586" w:type="dxa"/>
          </w:tcPr>
          <w:p w14:paraId="7588F4F9" w14:textId="77777777" w:rsidR="00D450E0" w:rsidRDefault="00000000">
            <w:r>
              <w:rPr>
                <w:sz w:val="14"/>
              </w:rPr>
              <w:t>Interview/observation study with visually impaired developers; participant demographics and task observations; Activity Theory analysis.</w:t>
            </w:r>
          </w:p>
        </w:tc>
        <w:tc>
          <w:tcPr>
            <w:tcW w:w="1415" w:type="dxa"/>
          </w:tcPr>
          <w:p w14:paraId="222AF616" w14:textId="77777777" w:rsidR="00D450E0" w:rsidRDefault="00000000">
            <w:r>
              <w:rPr>
                <w:sz w:val="14"/>
              </w:rPr>
              <w:t>Positive opportunity for inclusion, constrained by accessibility failures.</w:t>
            </w:r>
          </w:p>
        </w:tc>
        <w:tc>
          <w:tcPr>
            <w:tcW w:w="1415" w:type="dxa"/>
          </w:tcPr>
          <w:p w14:paraId="652F66C2" w14:textId="77777777" w:rsidR="00D450E0" w:rsidRDefault="00000000">
            <w:r>
              <w:rPr>
                <w:sz w:val="14"/>
              </w:rPr>
              <w:t>Section 4 Findings, pp. 6-13; Section 5 Discussion, pp. 13-17</w:t>
            </w:r>
          </w:p>
        </w:tc>
        <w:tc>
          <w:tcPr>
            <w:tcW w:w="1122" w:type="dxa"/>
          </w:tcPr>
          <w:p w14:paraId="6686063A" w14:textId="77777777" w:rsidR="00D450E0" w:rsidRDefault="00000000">
            <w:r>
              <w:rPr>
                <w:sz w:val="14"/>
              </w:rPr>
              <w:t>accessibility / usability / perceived productivity</w:t>
            </w:r>
          </w:p>
        </w:tc>
      </w:tr>
      <w:tr w:rsidR="00D450E0" w14:paraId="762E2108" w14:textId="77777777" w:rsidTr="000F2A66">
        <w:trPr>
          <w:jc w:val="center"/>
        </w:trPr>
        <w:tc>
          <w:tcPr>
            <w:tcW w:w="1968" w:type="dxa"/>
          </w:tcPr>
          <w:p w14:paraId="13FEA817" w14:textId="77777777" w:rsidR="00D450E0" w:rsidRDefault="00000000">
            <w:r>
              <w:rPr>
                <w:sz w:val="14"/>
              </w:rPr>
              <w:t>ge_survey_2025</w:t>
            </w:r>
          </w:p>
        </w:tc>
        <w:tc>
          <w:tcPr>
            <w:tcW w:w="874" w:type="dxa"/>
          </w:tcPr>
          <w:p w14:paraId="2B83376C" w14:textId="77777777" w:rsidR="00D450E0" w:rsidRDefault="00000000">
            <w:r>
              <w:rPr>
                <w:sz w:val="14"/>
              </w:rPr>
              <w:t>2025</w:t>
            </w:r>
          </w:p>
        </w:tc>
        <w:tc>
          <w:tcPr>
            <w:tcW w:w="945" w:type="dxa"/>
          </w:tcPr>
          <w:p w14:paraId="63F2057F" w14:textId="77777777" w:rsidR="00D450E0" w:rsidRDefault="00000000">
            <w:r>
              <w:rPr>
                <w:sz w:val="14"/>
              </w:rPr>
              <w:t>B</w:t>
            </w:r>
          </w:p>
        </w:tc>
        <w:tc>
          <w:tcPr>
            <w:tcW w:w="1547" w:type="dxa"/>
          </w:tcPr>
          <w:p w14:paraId="56C9BC1E" w14:textId="77777777" w:rsidR="00D450E0" w:rsidRDefault="00000000">
            <w:r>
              <w:rPr>
                <w:sz w:val="14"/>
              </w:rPr>
              <w:t>The vibe-coding survey describes strong perceived speed and low-friction prototyping value, but also documents dependence on prompting skill, review effort, and uncertainty about maintainability and user control.</w:t>
            </w:r>
          </w:p>
        </w:tc>
        <w:tc>
          <w:tcPr>
            <w:tcW w:w="1586" w:type="dxa"/>
          </w:tcPr>
          <w:p w14:paraId="1442A2B8" w14:textId="77777777" w:rsidR="00D450E0" w:rsidRDefault="00000000">
            <w:r>
              <w:rPr>
                <w:sz w:val="14"/>
              </w:rPr>
              <w:t>Large survey-style synthesis of vibe coding practices, tools, benefits, and challenges.</w:t>
            </w:r>
          </w:p>
        </w:tc>
        <w:tc>
          <w:tcPr>
            <w:tcW w:w="1415" w:type="dxa"/>
          </w:tcPr>
          <w:p w14:paraId="5B691BD3" w14:textId="77777777" w:rsidR="00D450E0" w:rsidRDefault="00000000">
            <w:r>
              <w:rPr>
                <w:sz w:val="14"/>
              </w:rPr>
              <w:t>Positive perceived productivity for prototyping; negative for control and maintainability assurance.</w:t>
            </w:r>
          </w:p>
        </w:tc>
        <w:tc>
          <w:tcPr>
            <w:tcW w:w="1415" w:type="dxa"/>
          </w:tcPr>
          <w:p w14:paraId="6A5D4338" w14:textId="77777777" w:rsidR="00D450E0" w:rsidRDefault="00000000">
            <w:r>
              <w:rPr>
                <w:sz w:val="14"/>
              </w:rPr>
              <w:t>Survey results and discussion sections, pp. 10-24</w:t>
            </w:r>
          </w:p>
        </w:tc>
        <w:tc>
          <w:tcPr>
            <w:tcW w:w="1122" w:type="dxa"/>
          </w:tcPr>
          <w:p w14:paraId="16E8A5D2" w14:textId="77777777" w:rsidR="00D450E0" w:rsidRDefault="00000000">
            <w:r>
              <w:rPr>
                <w:sz w:val="14"/>
              </w:rPr>
              <w:t>perceived productivity / usability / adoption intent</w:t>
            </w:r>
          </w:p>
        </w:tc>
      </w:tr>
      <w:tr w:rsidR="00D450E0" w14:paraId="74518AE2" w14:textId="77777777" w:rsidTr="000F2A66">
        <w:trPr>
          <w:jc w:val="center"/>
        </w:trPr>
        <w:tc>
          <w:tcPr>
            <w:tcW w:w="1968" w:type="dxa"/>
          </w:tcPr>
          <w:p w14:paraId="62B63580" w14:textId="77777777" w:rsidR="00D450E0" w:rsidRDefault="00000000">
            <w:r>
              <w:rPr>
                <w:sz w:val="14"/>
              </w:rPr>
              <w:t>chatterjee_impact_2024</w:t>
            </w:r>
          </w:p>
        </w:tc>
        <w:tc>
          <w:tcPr>
            <w:tcW w:w="874" w:type="dxa"/>
          </w:tcPr>
          <w:p w14:paraId="032F6A9C" w14:textId="77777777" w:rsidR="00D450E0" w:rsidRDefault="00000000">
            <w:r>
              <w:rPr>
                <w:sz w:val="14"/>
              </w:rPr>
              <w:t>2024</w:t>
            </w:r>
          </w:p>
        </w:tc>
        <w:tc>
          <w:tcPr>
            <w:tcW w:w="945" w:type="dxa"/>
          </w:tcPr>
          <w:p w14:paraId="4D19A6DB" w14:textId="77777777" w:rsidR="00D450E0" w:rsidRDefault="00000000">
            <w:r>
              <w:rPr>
                <w:sz w:val="14"/>
              </w:rPr>
              <w:t>A2</w:t>
            </w:r>
          </w:p>
        </w:tc>
        <w:tc>
          <w:tcPr>
            <w:tcW w:w="1547" w:type="dxa"/>
          </w:tcPr>
          <w:p w14:paraId="6C2304A3" w14:textId="77777777" w:rsidR="00D450E0" w:rsidRDefault="00000000">
            <w:r>
              <w:rPr>
                <w:sz w:val="14"/>
              </w:rPr>
              <w:t>In the ANZ Bank Copilot study, developers reported perceived engineering benefits in a corporate environment, but adoption required attention to tool governance, workflow fit, and user confidence.</w:t>
            </w:r>
          </w:p>
        </w:tc>
        <w:tc>
          <w:tcPr>
            <w:tcW w:w="1586" w:type="dxa"/>
          </w:tcPr>
          <w:p w14:paraId="1675D355" w14:textId="77777777" w:rsidR="00D450E0" w:rsidRDefault="00000000">
            <w:r>
              <w:rPr>
                <w:sz w:val="14"/>
              </w:rPr>
              <w:t>Corporate empirical study of GitHub Copilot within ANZ; developer survey/assessment of impact on engineering work.</w:t>
            </w:r>
          </w:p>
        </w:tc>
        <w:tc>
          <w:tcPr>
            <w:tcW w:w="1415" w:type="dxa"/>
          </w:tcPr>
          <w:p w14:paraId="41392FEE" w14:textId="77777777" w:rsidR="00D450E0" w:rsidRDefault="00000000">
            <w:r>
              <w:rPr>
                <w:sz w:val="14"/>
              </w:rPr>
              <w:t>Positive perceived value, conditional on corporate adoption controls.</w:t>
            </w:r>
          </w:p>
        </w:tc>
        <w:tc>
          <w:tcPr>
            <w:tcW w:w="1415" w:type="dxa"/>
          </w:tcPr>
          <w:p w14:paraId="49F0A550" w14:textId="77777777" w:rsidR="00D450E0" w:rsidRDefault="00000000">
            <w:r>
              <w:rPr>
                <w:sz w:val="14"/>
              </w:rPr>
              <w:t>Results and Discussion, pp. 4-10</w:t>
            </w:r>
          </w:p>
        </w:tc>
        <w:tc>
          <w:tcPr>
            <w:tcW w:w="1122" w:type="dxa"/>
          </w:tcPr>
          <w:p w14:paraId="3002BE76" w14:textId="77777777" w:rsidR="00D450E0" w:rsidRDefault="00000000">
            <w:r>
              <w:rPr>
                <w:sz w:val="14"/>
              </w:rPr>
              <w:t>perceived productivity / adoption intent / satisfaction</w:t>
            </w:r>
          </w:p>
        </w:tc>
      </w:tr>
      <w:tr w:rsidR="00D450E0" w14:paraId="7E8E2BE2" w14:textId="77777777" w:rsidTr="000F2A66">
        <w:trPr>
          <w:jc w:val="center"/>
        </w:trPr>
        <w:tc>
          <w:tcPr>
            <w:tcW w:w="1968" w:type="dxa"/>
          </w:tcPr>
          <w:p w14:paraId="7749EE05" w14:textId="77777777" w:rsidR="00D450E0" w:rsidRDefault="00000000">
            <w:r>
              <w:rPr>
                <w:sz w:val="14"/>
              </w:rPr>
              <w:t>otten_prompting_2026</w:t>
            </w:r>
          </w:p>
        </w:tc>
        <w:tc>
          <w:tcPr>
            <w:tcW w:w="874" w:type="dxa"/>
          </w:tcPr>
          <w:p w14:paraId="6A3D21A3" w14:textId="77777777" w:rsidR="00D450E0" w:rsidRDefault="00000000">
            <w:r>
              <w:rPr>
                <w:sz w:val="14"/>
              </w:rPr>
              <w:t>2026</w:t>
            </w:r>
          </w:p>
        </w:tc>
        <w:tc>
          <w:tcPr>
            <w:tcW w:w="945" w:type="dxa"/>
          </w:tcPr>
          <w:p w14:paraId="464052BD" w14:textId="77777777" w:rsidR="00D450E0" w:rsidRDefault="00000000">
            <w:r>
              <w:rPr>
                <w:sz w:val="14"/>
              </w:rPr>
              <w:t>A2</w:t>
            </w:r>
          </w:p>
        </w:tc>
        <w:tc>
          <w:tcPr>
            <w:tcW w:w="1547" w:type="dxa"/>
          </w:tcPr>
          <w:p w14:paraId="2CB30569" w14:textId="77777777" w:rsidR="00D450E0" w:rsidRDefault="00000000">
            <w:r>
              <w:rPr>
                <w:sz w:val="14"/>
              </w:rPr>
              <w:t xml:space="preserve">Practitioners’ use of generative AI tools </w:t>
            </w:r>
            <w:r>
              <w:rPr>
                <w:sz w:val="14"/>
              </w:rPr>
              <w:lastRenderedPageBreak/>
              <w:t>depended heavily on prompting practices: effective use involved decomposing tasks, adding context, iterating outputs, and judging when responses were actionable.</w:t>
            </w:r>
          </w:p>
        </w:tc>
        <w:tc>
          <w:tcPr>
            <w:tcW w:w="1586" w:type="dxa"/>
          </w:tcPr>
          <w:p w14:paraId="6AE3646F" w14:textId="77777777" w:rsidR="00D450E0" w:rsidRDefault="00000000">
            <w:r>
              <w:rPr>
                <w:sz w:val="14"/>
              </w:rPr>
              <w:lastRenderedPageBreak/>
              <w:t xml:space="preserve">Study of software practitioners’ </w:t>
            </w:r>
            <w:r>
              <w:rPr>
                <w:sz w:val="14"/>
              </w:rPr>
              <w:lastRenderedPageBreak/>
              <w:t>prompting practices; coding of real/practitioner-reported prompt use.</w:t>
            </w:r>
          </w:p>
        </w:tc>
        <w:tc>
          <w:tcPr>
            <w:tcW w:w="1415" w:type="dxa"/>
          </w:tcPr>
          <w:p w14:paraId="3090E79E" w14:textId="77777777" w:rsidR="00D450E0" w:rsidRDefault="00000000">
            <w:r>
              <w:rPr>
                <w:sz w:val="14"/>
              </w:rPr>
              <w:lastRenderedPageBreak/>
              <w:t xml:space="preserve">Positive usability when prompt </w:t>
            </w:r>
            <w:r>
              <w:rPr>
                <w:sz w:val="14"/>
              </w:rPr>
              <w:lastRenderedPageBreak/>
              <w:t>literacy is developed; negative when context specification is difficult.</w:t>
            </w:r>
          </w:p>
        </w:tc>
        <w:tc>
          <w:tcPr>
            <w:tcW w:w="1415" w:type="dxa"/>
          </w:tcPr>
          <w:p w14:paraId="42126473" w14:textId="77777777" w:rsidR="00D450E0" w:rsidRDefault="00000000">
            <w:r>
              <w:rPr>
                <w:sz w:val="14"/>
              </w:rPr>
              <w:lastRenderedPageBreak/>
              <w:t>Results, pp. 6-13; Discussion, pp. 13-</w:t>
            </w:r>
            <w:r>
              <w:rPr>
                <w:sz w:val="14"/>
              </w:rPr>
              <w:lastRenderedPageBreak/>
              <w:t>16</w:t>
            </w:r>
          </w:p>
        </w:tc>
        <w:tc>
          <w:tcPr>
            <w:tcW w:w="1122" w:type="dxa"/>
          </w:tcPr>
          <w:p w14:paraId="56A477A0" w14:textId="77777777" w:rsidR="00D450E0" w:rsidRDefault="00000000">
            <w:r>
              <w:rPr>
                <w:sz w:val="14"/>
              </w:rPr>
              <w:lastRenderedPageBreak/>
              <w:t xml:space="preserve">usability / perceived </w:t>
            </w:r>
            <w:r>
              <w:rPr>
                <w:sz w:val="14"/>
              </w:rPr>
              <w:lastRenderedPageBreak/>
              <w:t>productivity</w:t>
            </w:r>
          </w:p>
        </w:tc>
      </w:tr>
      <w:tr w:rsidR="00D450E0" w14:paraId="40A59ACA" w14:textId="77777777" w:rsidTr="000F2A66">
        <w:trPr>
          <w:jc w:val="center"/>
        </w:trPr>
        <w:tc>
          <w:tcPr>
            <w:tcW w:w="1968" w:type="dxa"/>
          </w:tcPr>
          <w:p w14:paraId="2F36797C" w14:textId="77777777" w:rsidR="00D450E0" w:rsidRDefault="00000000">
            <w:r>
              <w:rPr>
                <w:sz w:val="14"/>
              </w:rPr>
              <w:lastRenderedPageBreak/>
              <w:t>stray_human-ai_2025</w:t>
            </w:r>
          </w:p>
        </w:tc>
        <w:tc>
          <w:tcPr>
            <w:tcW w:w="874" w:type="dxa"/>
          </w:tcPr>
          <w:p w14:paraId="57DF519A" w14:textId="77777777" w:rsidR="00D450E0" w:rsidRDefault="00000000">
            <w:r>
              <w:rPr>
                <w:sz w:val="14"/>
              </w:rPr>
              <w:t>2025</w:t>
            </w:r>
          </w:p>
        </w:tc>
        <w:tc>
          <w:tcPr>
            <w:tcW w:w="945" w:type="dxa"/>
          </w:tcPr>
          <w:p w14:paraId="2D4A6CB2" w14:textId="77777777" w:rsidR="00D450E0" w:rsidRDefault="00000000">
            <w:r>
              <w:rPr>
                <w:sz w:val="14"/>
              </w:rPr>
              <w:t>A2</w:t>
            </w:r>
          </w:p>
        </w:tc>
        <w:tc>
          <w:tcPr>
            <w:tcW w:w="1547" w:type="dxa"/>
          </w:tcPr>
          <w:p w14:paraId="1B38A3C9" w14:textId="77777777" w:rsidR="00D450E0" w:rsidRDefault="00000000">
            <w:r>
              <w:rPr>
                <w:sz w:val="14"/>
              </w:rPr>
              <w:t>Developers’ collaboration with Copilot and ChatGPT mixed acceleration with interruptions: AI support helped with routine coding but sometimes disrupted flow, required verification, and changed coordination in solo and pair programming.</w:t>
            </w:r>
          </w:p>
        </w:tc>
        <w:tc>
          <w:tcPr>
            <w:tcW w:w="1586" w:type="dxa"/>
          </w:tcPr>
          <w:p w14:paraId="66F0158F" w14:textId="77777777" w:rsidR="00D450E0" w:rsidRDefault="00000000">
            <w:r>
              <w:rPr>
                <w:sz w:val="14"/>
              </w:rPr>
              <w:t>Mixed-methods study of developers’ use of Copilot and ChatGPT; workflow and collaboration analysis.</w:t>
            </w:r>
          </w:p>
        </w:tc>
        <w:tc>
          <w:tcPr>
            <w:tcW w:w="1415" w:type="dxa"/>
          </w:tcPr>
          <w:p w14:paraId="2377E9FD" w14:textId="77777777" w:rsidR="00D450E0" w:rsidRDefault="00000000">
            <w:r>
              <w:rPr>
                <w:sz w:val="14"/>
              </w:rPr>
              <w:t>Ambivalent: acceleration and assistance, offset by interruptions and verification work.</w:t>
            </w:r>
          </w:p>
        </w:tc>
        <w:tc>
          <w:tcPr>
            <w:tcW w:w="1415" w:type="dxa"/>
          </w:tcPr>
          <w:p w14:paraId="4A585CFC" w14:textId="77777777" w:rsidR="00D450E0" w:rsidRDefault="00000000">
            <w:r>
              <w:rPr>
                <w:sz w:val="14"/>
              </w:rPr>
              <w:t>Results, pp. 5-11; Discussion, pp. 11-14</w:t>
            </w:r>
          </w:p>
        </w:tc>
        <w:tc>
          <w:tcPr>
            <w:tcW w:w="1122" w:type="dxa"/>
          </w:tcPr>
          <w:p w14:paraId="3AF413BA" w14:textId="77777777" w:rsidR="00D450E0" w:rsidRDefault="00000000">
            <w:r>
              <w:rPr>
                <w:sz w:val="14"/>
              </w:rPr>
              <w:t>perceived productivity / satisfaction / usability</w:t>
            </w:r>
          </w:p>
        </w:tc>
      </w:tr>
      <w:tr w:rsidR="00D450E0" w14:paraId="291A2F4B" w14:textId="77777777" w:rsidTr="000F2A66">
        <w:trPr>
          <w:jc w:val="center"/>
        </w:trPr>
        <w:tc>
          <w:tcPr>
            <w:tcW w:w="1968" w:type="dxa"/>
          </w:tcPr>
          <w:p w14:paraId="2C301784" w14:textId="77777777" w:rsidR="00D450E0" w:rsidRDefault="00000000">
            <w:r>
              <w:rPr>
                <w:sz w:val="14"/>
              </w:rPr>
              <w:t>mozannar_reading_2024</w:t>
            </w:r>
          </w:p>
        </w:tc>
        <w:tc>
          <w:tcPr>
            <w:tcW w:w="874" w:type="dxa"/>
          </w:tcPr>
          <w:p w14:paraId="4C02FE84" w14:textId="77777777" w:rsidR="00D450E0" w:rsidRDefault="00000000">
            <w:r>
              <w:rPr>
                <w:sz w:val="14"/>
              </w:rPr>
              <w:t>2024</w:t>
            </w:r>
          </w:p>
        </w:tc>
        <w:tc>
          <w:tcPr>
            <w:tcW w:w="945" w:type="dxa"/>
          </w:tcPr>
          <w:p w14:paraId="29EAE672" w14:textId="77777777" w:rsidR="00D450E0" w:rsidRDefault="00000000">
            <w:r>
              <w:rPr>
                <w:sz w:val="14"/>
              </w:rPr>
              <w:t>A1</w:t>
            </w:r>
          </w:p>
        </w:tc>
        <w:tc>
          <w:tcPr>
            <w:tcW w:w="1547" w:type="dxa"/>
          </w:tcPr>
          <w:p w14:paraId="33976ABF" w14:textId="77777777" w:rsidR="00D450E0" w:rsidRDefault="00000000">
            <w:r>
              <w:rPr>
                <w:sz w:val="14"/>
              </w:rPr>
              <w:t>User behaviour modelling showed that AI-assisted programming imposes reading and decision costs: accepting suggestions is not frictionless because users must inspect, understand, and decide whether code is worth using.</w:t>
            </w:r>
          </w:p>
        </w:tc>
        <w:tc>
          <w:tcPr>
            <w:tcW w:w="1586" w:type="dxa"/>
          </w:tcPr>
          <w:p w14:paraId="52E6F83A" w14:textId="77777777" w:rsidR="00D450E0" w:rsidRDefault="00000000">
            <w:r>
              <w:rPr>
                <w:sz w:val="14"/>
              </w:rPr>
              <w:t>Behavioural/cost model for AI-assisted programming; analysis of user reading, acceptance, and interaction costs.</w:t>
            </w:r>
          </w:p>
        </w:tc>
        <w:tc>
          <w:tcPr>
            <w:tcW w:w="1415" w:type="dxa"/>
          </w:tcPr>
          <w:p w14:paraId="01CDB6EB" w14:textId="77777777" w:rsidR="00D450E0" w:rsidRDefault="00000000">
            <w:r>
              <w:rPr>
                <w:sz w:val="14"/>
              </w:rPr>
              <w:t>Negative usability cost hidden beneath apparent completion speed.</w:t>
            </w:r>
          </w:p>
        </w:tc>
        <w:tc>
          <w:tcPr>
            <w:tcW w:w="1415" w:type="dxa"/>
          </w:tcPr>
          <w:p w14:paraId="4BEF13C9" w14:textId="77777777" w:rsidR="00D450E0" w:rsidRDefault="00000000">
            <w:r>
              <w:rPr>
                <w:sz w:val="14"/>
              </w:rPr>
              <w:t>Results/Evaluation, pp. 5-12; Discussion, pp. 12-14</w:t>
            </w:r>
          </w:p>
        </w:tc>
        <w:tc>
          <w:tcPr>
            <w:tcW w:w="1122" w:type="dxa"/>
          </w:tcPr>
          <w:p w14:paraId="2DD6EBA0" w14:textId="77777777" w:rsidR="00D450E0" w:rsidRDefault="00000000">
            <w:r>
              <w:rPr>
                <w:sz w:val="14"/>
              </w:rPr>
              <w:t>usability / perceived productivity</w:t>
            </w:r>
          </w:p>
        </w:tc>
      </w:tr>
    </w:tbl>
    <w:p w14:paraId="703A5515" w14:textId="77777777" w:rsidR="00D450E0" w:rsidRDefault="00000000">
      <w:pPr>
        <w:pStyle w:val="Heading1"/>
      </w:pPr>
      <w:r>
        <w:t>2. Analytical narrative</w:t>
      </w:r>
    </w:p>
    <w:p w14:paraId="08DEF24E" w14:textId="77777777" w:rsidR="00D450E0" w:rsidRDefault="00000000">
      <w:r>
        <w:rPr>
          <w:b/>
        </w:rPr>
        <w:t xml:space="preserve">Perceived productivity and satisfaction. </w:t>
      </w:r>
      <w:r>
        <w:t>Across the HAI CORE experience papers, developers rarely describe AI assistance as a simple productivity multiplier. Instead, perceived value emerges when AI tools reduce the cost of routine production, explanation, and exploration while still leaving developers with enough control to judge the result. Santos et al. show this most directly: practitioners used LLMs for code generation, explanation, refactoring, and learning, but framed the tools as model-assisted and human-guided rather than autonomous replacements [1]. Stray et al. similarly report that Copilot and ChatGPT can accelerate routine work while also interrupting flow and creating verification work [2]. Mozannar et al. sharpen this point by modelling the reading and decision costs hidden behind acceptance: a suggestion has experiential value only after the developer has inspected it, understood it, and decided whether using it is worthwhile [3]. Corporate and field-oriented studies therefore point to a gap between subjective productivity and realised productivity. ANZ developers reported perceived engineering benefits from Copilot, yet the study also makes adoption dependent on governance, workflow fit, and user confidence [4]. Zacharias et al. likewise found that experts associated GenAI with productivity and creativity gains, but also with over-reliance, skill degradation, and homogenisation [5].</w:t>
      </w:r>
    </w:p>
    <w:p w14:paraId="6C024E8F" w14:textId="77777777" w:rsidR="00D450E0" w:rsidRDefault="00000000">
      <w:r>
        <w:rPr>
          <w:b/>
        </w:rPr>
        <w:t xml:space="preserve">Usability and design factors. </w:t>
      </w:r>
      <w:r>
        <w:t>Usability findings are consistent in treating tool effectiveness as an interactional property rather than a model property alone. Zhang et al.’s analysis of 303 Stack Overflow posts and 927 GitHub Discussions found that developers valued useful code generation, but also reported integration difficulty and requested more granular acceptance and accessibility-related features [6]. Otten et al. show that this usability problem extends into prompting itself: effective use requires decomposing tasks, adding context, iterating outputs, and judging when a response is actionable [7]. Misic and Dodovic’s OpenMP assessment makes the same pattern visible in a specialised programming context, where ChatGPT and Copilot could assist parallelisation only through iterative prompting, compiler feedback, and human evaluation [8]. Yu et al. add that industrial teams evaluating GenAI applications explicitly included usability, satisfaction, reliability, and output specificity among quality concerns, indicating that developer experience is becoming part of GenAI system evaluation rather than an afterthought [9].</w:t>
      </w:r>
    </w:p>
    <w:p w14:paraId="2F8CB4F1" w14:textId="77777777" w:rsidR="00D450E0" w:rsidRDefault="00000000">
      <w:r>
        <w:rPr>
          <w:b/>
        </w:rPr>
        <w:t xml:space="preserve">Adoption patterns and continuance. </w:t>
      </w:r>
      <w:r>
        <w:t xml:space="preserve">Sustained use depends on the relationship between perceived usefulness, satisfaction, compatibility, and correction effort. Park’s survey case study of South Korean industry developers positions continuance as a post-adoption judgement: developers keep using assistants when usefulness and satisfaction are strong enough to justify the work of checking, adapting, and integrating outputs [10]. Davila et al.’s industry case study reaches a compatible conclusion in a legacy-platform setting: adoption centred on ChatGPT and GitHub Copilot, but it was shaped by task fit, confidentiality, workflow embedding, and organisational context [11]. Ge et al.’s vibe-coding survey extends this adoption logic to low-friction prototyping, where the appeal is speed and exploratory momentum, but sustained value is limited by prompt dependence, review effort, maintainability uncertainty, </w:t>
      </w:r>
      <w:r>
        <w:lastRenderedPageBreak/>
        <w:t>and reduced user control [14]. Together, these studies suggest that adoption is not merely a willingness variable; it is an accumulating judgement about whether AI assistance remains useful after its inspection and coordination costs are counted.</w:t>
      </w:r>
    </w:p>
    <w:p w14:paraId="44065818" w14:textId="77777777" w:rsidR="00D450E0" w:rsidRDefault="00000000">
      <w:r>
        <w:rPr>
          <w:b/>
        </w:rPr>
        <w:t xml:space="preserve">Identity and professional self-concept. </w:t>
      </w:r>
      <w:r>
        <w:t>The strongest identity evidence comes from Hicks et al., who conceptualise AI Skill Threat as developers’ worry, anxiety, or fear that their current skills will become insufficient. Their survey reports that 43-45% of developers showed evidence of such threat, while learning culture and belonging predicted lower threat and better thriving [12]. Zacharias et al. complement this by showing that expert practitioners see GenAI as changing the meaning of expertise: it can move attention away from syntax-compliant production towards more creative and coordinating work, but it can also weaken interpersonal communication and erode perceived skill relevance [5]. Flores-Saviaga et al. add an accessibility and inclusion perspective that is essential for HAI: visually impaired developers found AI assistants beneficial, yet faced navigation, debugging, modality, and cognitive-overload barriers that made the same tools unequally usable [13]. The experience evidence therefore positions AI-assisted programming as both an augmentation technology and a socio-technical transition that redistributes confidence, control, inclusion, and professional identity.</w:t>
      </w:r>
    </w:p>
    <w:p w14:paraId="426E62B1" w14:textId="77777777" w:rsidR="00D450E0" w:rsidRDefault="00000000">
      <w:pPr>
        <w:pStyle w:val="Heading1"/>
      </w:pPr>
      <w:r>
        <w:t>3. Self-contained contribution note</w:t>
      </w:r>
    </w:p>
    <w:p w14:paraId="1FCCEF34" w14:textId="77777777" w:rsidR="00D450E0" w:rsidRDefault="00000000">
      <w:r>
        <w:t>This sub-topic contributes a developer-experience layer to the NB3 HAI CORE evidence base. It shows that perceived value is not reducible to faster code production: developers evaluate AI assistance through inspection costs, prompt effort, workflow compatibility, organisational trust, accessibility, satisfaction, and professional self-concept. The main gap for NB4 SUPPORT is triangulation: Phase 3 should test whether these experience patterns hold across additional populations, tool settings, and empirical designs, especially for under-represented groups, long-term continuance, and the relationship between subjective productivity and objective outcomes.</w:t>
      </w:r>
    </w:p>
    <w:p w14:paraId="14015BA2" w14:textId="77777777" w:rsidR="00D450E0" w:rsidRDefault="00000000">
      <w:pPr>
        <w:pStyle w:val="Heading1"/>
      </w:pPr>
      <w:r>
        <w:t>4. References</w:t>
      </w:r>
    </w:p>
    <w:p w14:paraId="1325231B" w14:textId="77777777" w:rsidR="00D450E0" w:rsidRPr="000F2A66" w:rsidRDefault="00000000">
      <w:pPr>
        <w:rPr>
          <w:lang w:val="es-ES"/>
        </w:rPr>
      </w:pPr>
      <w:r>
        <w:t xml:space="preserve">[1] Model-Assisted and Human-Guided: Perceptions and Practices of Software Professionals Using LLMs for Coding. </w:t>
      </w:r>
      <w:r w:rsidRPr="000F2A66">
        <w:rPr>
          <w:lang w:val="es-ES"/>
        </w:rPr>
        <w:t xml:space="preserve">Santos, Italo; Magalhaes, Cleyton; Santos, Ronnie de Souza, 2025. </w:t>
      </w:r>
      <w:proofErr w:type="spellStart"/>
      <w:r w:rsidRPr="000F2A66">
        <w:rPr>
          <w:lang w:val="es-ES"/>
        </w:rPr>
        <w:t>Bibkey</w:t>
      </w:r>
      <w:proofErr w:type="spellEnd"/>
      <w:r w:rsidRPr="000F2A66">
        <w:rPr>
          <w:lang w:val="es-ES"/>
        </w:rPr>
        <w:t>: santos_model-assisted_2025.</w:t>
      </w:r>
    </w:p>
    <w:p w14:paraId="12C080B4" w14:textId="77777777" w:rsidR="00D450E0" w:rsidRDefault="00000000">
      <w:r>
        <w:t>[2] Human-AI Collaboration in Software Development: A Mixed-Methods Study of Developers’ Use of GitHub Copilot and ChatGPT. Stray, Viktoria; Barbala, Astri; Wivestad, Viggo Tellefsen, 2025. Bibkey: stray_human-ai_2025.</w:t>
      </w:r>
    </w:p>
    <w:p w14:paraId="7E162E36" w14:textId="77777777" w:rsidR="00D450E0" w:rsidRDefault="00000000">
      <w:r>
        <w:t>[3] Reading Between the Lines: Modeling User Behavior and Costs in AI-Assisted Programming. Mozannar, Hussein; Bansal, Gagan; Fourney, Adam; Horvitz, Eric, 2024. Bibkey: mozannar_reading_2024.</w:t>
      </w:r>
    </w:p>
    <w:p w14:paraId="33F7CFFE" w14:textId="77777777" w:rsidR="00D450E0" w:rsidRDefault="00000000">
      <w:r>
        <w:t>[4] The Impact of AI Tool on Engineering at ANZ Bank an Empirical Study on GitHub Copilot within Corporate Environment. Chatterjee, Sayan; Liu, Ching Louis; Rowland, Gareth; Hogarth, Tim, 2024. Bibkey: chatterjee_impact_2024.</w:t>
      </w:r>
    </w:p>
    <w:p w14:paraId="44F31F36" w14:textId="77777777" w:rsidR="00D450E0" w:rsidRDefault="00000000">
      <w:r>
        <w:t>[5] Developers’ Dilemma: Opportunities and Pitfalls of Generative AI for Software Development. Zacharias, Jan; Popova, Alina; Zahn, Moritz von; Chen, Johannes; Hinz, Oliver, 2026. Bibkey: zacharias_developers_2026.</w:t>
      </w:r>
    </w:p>
    <w:p w14:paraId="3E012F96" w14:textId="77777777" w:rsidR="00D450E0" w:rsidRDefault="00000000">
      <w:r>
        <w:t>[6] Demystifying Practices, Challenges and Expected Features of Using GitHub Copilot. Zhang, Beiqi; Liang, Peng; Zhou, Xiyu; Ahmad, Aakash; Waseem, Muhammad, 2023. Bibkey: zhang_demystifying_2023.</w:t>
      </w:r>
    </w:p>
    <w:p w14:paraId="4E8B6695" w14:textId="77777777" w:rsidR="00D450E0" w:rsidRDefault="00000000">
      <w:r>
        <w:t>[7] Prompting in Practice: Investigating Software Practitioners' Use of Generative AI Tools. Otten, Daniel; Stalnaker, Trevor; Wintersgill, Nathan; Chaparro, Oscar; Poshyvanyk, Denys, 2026. Bibkey: otten_prompting_2026.</w:t>
      </w:r>
    </w:p>
    <w:p w14:paraId="54EB3AD8" w14:textId="77777777" w:rsidR="00D450E0" w:rsidRDefault="00000000">
      <w:r>
        <w:t>[8] An Assessment of Large Language Models for OpenMP-based Code Parallelization: A User Perspective. Mišić, Marko; Dodović, Matija, 2024. Bibkey: misic_assessment_2024.</w:t>
      </w:r>
    </w:p>
    <w:p w14:paraId="5F3D4CB4" w14:textId="77777777" w:rsidR="00D450E0" w:rsidRDefault="00000000">
      <w:r>
        <w:t>[9] Evaluating the Quality of GenAI Applications in Software Engineering: A Multi-case Study. Yu, Liang; Alégroth, Emil; Chatzipetrou, Panagiota; Gorschek, Tony, 2026. Bibkey: yu_evaluating_2026.</w:t>
      </w:r>
    </w:p>
    <w:p w14:paraId="4DB4863B" w14:textId="77777777" w:rsidR="00D450E0" w:rsidRDefault="00000000">
      <w:r>
        <w:t>[10] Continuance Use of AI Coding Assistants Among South Korean Industry Developers: A Survey Case Study with Large Language Models. Park, Eunil, 2025. Bibkey: park_continuance_2025.</w:t>
      </w:r>
    </w:p>
    <w:p w14:paraId="218E7468" w14:textId="77777777" w:rsidR="00D450E0" w:rsidRDefault="00000000">
      <w:r>
        <w:t xml:space="preserve">[11] An Industry Case Study on Adoption of AI-based Programming Assistants. </w:t>
      </w:r>
      <w:r w:rsidRPr="000F2A66">
        <w:rPr>
          <w:lang w:val="es-ES"/>
        </w:rPr>
        <w:t xml:space="preserve">Davila, Nicole; Wiese, Igor; Steinmacher, Igor; Lucio Da Silva, Lucas; Kawamoto, Andre; Favaro, Gilson </w:t>
      </w:r>
      <w:proofErr w:type="spellStart"/>
      <w:r w:rsidRPr="000F2A66">
        <w:rPr>
          <w:lang w:val="es-ES"/>
        </w:rPr>
        <w:t>Jose</w:t>
      </w:r>
      <w:proofErr w:type="spellEnd"/>
      <w:r w:rsidRPr="000F2A66">
        <w:rPr>
          <w:lang w:val="es-ES"/>
        </w:rPr>
        <w:t xml:space="preserve"> </w:t>
      </w:r>
      <w:proofErr w:type="spellStart"/>
      <w:r w:rsidRPr="000F2A66">
        <w:rPr>
          <w:lang w:val="es-ES"/>
        </w:rPr>
        <w:t>Peres</w:t>
      </w:r>
      <w:proofErr w:type="spellEnd"/>
      <w:r w:rsidRPr="000F2A66">
        <w:rPr>
          <w:lang w:val="es-ES"/>
        </w:rPr>
        <w:t xml:space="preserve">; Nunes, Ingrid, 2024. </w:t>
      </w:r>
      <w:proofErr w:type="spellStart"/>
      <w:r>
        <w:t>Bibkey</w:t>
      </w:r>
      <w:proofErr w:type="spellEnd"/>
      <w:r>
        <w:t>: davila_industry_2024.</w:t>
      </w:r>
    </w:p>
    <w:p w14:paraId="71146DA1" w14:textId="77777777" w:rsidR="00D450E0" w:rsidRDefault="00000000">
      <w:r>
        <w:t>[12] The New Developer: AI Skill Threat, Identity Change &amp; Developer Thriving in the Transition to AI-Assisted Software Development. Hicks, Catherine M.; Lee, Carol S; Foster-Marks, Kristen, 2024. Bibkey: hicks_new_2024.</w:t>
      </w:r>
    </w:p>
    <w:p w14:paraId="37BEAE01" w14:textId="77777777" w:rsidR="00D450E0" w:rsidRDefault="00000000">
      <w:r>
        <w:lastRenderedPageBreak/>
        <w:t>[13] The Impact of Generative AI Coding Assistants on Developers Who Are Visually Impaired. Flores-Saviaga, Claudia; Hanrahan, Benjamin V.; Imteyaz, Kashif; Clarke, Steven; Savage, Saiph, 2025. Bibkey: flores-saviaga_impact_2025.</w:t>
      </w:r>
    </w:p>
    <w:p w14:paraId="29262139" w14:textId="77777777" w:rsidR="00D450E0" w:rsidRDefault="00000000">
      <w:r>
        <w:t>[14] A Survey of Vibe Coding with Large Language Models. Ge, Yuyao; Mei, Lingrui; Duan, Zenghao; Li, Tianhao; Zheng, Yujia; Wang, Yiwei; Wang, Lexin; Yao, Jiayu; Liu, Tianyu; Cai, Yujun; Bi, Baolong; Guo, Fangda; Guo, Jiafeng; Liu, Shenghua; Cheng, Xueqi, 2025. Bibkey: ge_survey_2025.</w:t>
      </w:r>
    </w:p>
    <w:sectPr w:rsidR="00D450E0"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912191">
    <w:abstractNumId w:val="8"/>
  </w:num>
  <w:num w:numId="2" w16cid:durableId="1974363556">
    <w:abstractNumId w:val="6"/>
  </w:num>
  <w:num w:numId="3" w16cid:durableId="1157920387">
    <w:abstractNumId w:val="5"/>
  </w:num>
  <w:num w:numId="4" w16cid:durableId="1677338616">
    <w:abstractNumId w:val="4"/>
  </w:num>
  <w:num w:numId="5" w16cid:durableId="1092356343">
    <w:abstractNumId w:val="7"/>
  </w:num>
  <w:num w:numId="6" w16cid:durableId="1959214884">
    <w:abstractNumId w:val="3"/>
  </w:num>
  <w:num w:numId="7" w16cid:durableId="617833971">
    <w:abstractNumId w:val="2"/>
  </w:num>
  <w:num w:numId="8" w16cid:durableId="1835603168">
    <w:abstractNumId w:val="1"/>
  </w:num>
  <w:num w:numId="9" w16cid:durableId="2073455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A66"/>
    <w:rsid w:val="0015074B"/>
    <w:rsid w:val="0029639D"/>
    <w:rsid w:val="00326F90"/>
    <w:rsid w:val="006015D6"/>
    <w:rsid w:val="00AA1D8D"/>
    <w:rsid w:val="00B47730"/>
    <w:rsid w:val="00CB0664"/>
    <w:rsid w:val="00D450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9EBD6"/>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2214</Words>
  <Characters>14860</Characters>
  <Application>Microsoft Office Word</Application>
  <DocSecurity>0</DocSecurity>
  <Lines>619</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2026-06-11T00:43:00Z</dcterms:modified>
  <cp:category/>
</cp:coreProperties>
</file>