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2.1 — NB3 HAI CORE: Cross-cutting patterns across prompting, workflow integration, and robustness</w:t>
      </w:r>
    </w:p>
    <w:p>
      <w:r>
        <w:t>Scope note: evidence is restricted to Phase 1.1, Phase 1.2, and Phase 1.6 artefacts from NB3_HAI_CORE. Bibkeys were verified literally against NB3_HAI_CORE.bib. Quality tiers were taken from column S (Clasificación) of Relación de Estudios.xlsx. Bibliographic metadata in the References section was mapped through the Zotero key in Relación de Estudios.xlsx and taken from NB3_HAI_CORE.csv.</w:t>
      </w:r>
    </w:p>
    <w:p>
      <w:pPr>
        <w:pStyle w:val="Heading1"/>
      </w:pPr>
      <w:r>
        <w:t>1. Cross-cutting evidence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tcPr>
          <w:p>
            <w:r>
              <w:rPr>
                <w:sz w:val="14"/>
              </w:rPr>
              <w:t>Bibkey</w:t>
            </w:r>
          </w:p>
        </w:tc>
        <w:tc>
          <w:tcPr>
            <w:tcW w:type="dxa" w:w="1008"/>
            <w:vAlign w:val="top"/>
          </w:tcPr>
          <w:p>
            <w:r>
              <w:rPr>
                <w:sz w:val="14"/>
              </w:rPr>
              <w:t>Quality tier</w:t>
            </w:r>
          </w:p>
        </w:tc>
        <w:tc>
          <w:tcPr>
            <w:tcW w:type="dxa" w:w="5328"/>
            <w:vAlign w:val="top"/>
          </w:tcPr>
          <w:p>
            <w:r>
              <w:rPr>
                <w:sz w:val="14"/>
              </w:rPr>
              <w:t>Finding</w:t>
            </w:r>
          </w:p>
        </w:tc>
        <w:tc>
          <w:tcPr>
            <w:tcW w:type="dxa" w:w="1800"/>
            <w:vAlign w:val="top"/>
          </w:tcPr>
          <w:p>
            <w:r>
              <w:rPr>
                <w:sz w:val="14"/>
              </w:rPr>
              <w:t>Sub-topics it appears in</w:t>
            </w:r>
          </w:p>
        </w:tc>
        <w:tc>
          <w:tcPr>
            <w:tcW w:type="dxa" w:w="1296"/>
            <w:vAlign w:val="top"/>
          </w:tcPr>
          <w:p>
            <w:r>
              <w:rPr>
                <w:sz w:val="14"/>
              </w:rPr>
              <w:t>Convergence type</w:t>
            </w:r>
          </w:p>
        </w:tc>
      </w:tr>
      <w:tr>
        <w:tc>
          <w:tcPr>
            <w:tcW w:type="dxa" w:w="1800"/>
            <w:vAlign w:val="top"/>
          </w:tcPr>
          <w:p>
            <w:r>
              <w:rPr>
                <w:sz w:val="14"/>
              </w:rPr>
              <w:t>nam_understanding_2025</w:t>
            </w:r>
          </w:p>
        </w:tc>
        <w:tc>
          <w:tcPr>
            <w:tcW w:type="dxa" w:w="1008"/>
            <w:vAlign w:val="top"/>
          </w:tcPr>
          <w:p>
            <w:r>
              <w:rPr>
                <w:sz w:val="14"/>
              </w:rPr>
              <w:t>A1</w:t>
            </w:r>
          </w:p>
        </w:tc>
        <w:tc>
          <w:tcPr>
            <w:tcW w:type="dxa" w:w="5328"/>
            <w:vAlign w:val="top"/>
          </w:tcPr>
          <w:p>
            <w:r>
              <w:rPr>
                <w:sz w:val="14"/>
              </w:rPr>
              <w:t>Prompt formulation combines intent, code context, and expected edit behaviour, making prompts an observable specification practice rather than a generic query.</w:t>
            </w:r>
          </w:p>
        </w:tc>
        <w:tc>
          <w:tcPr>
            <w:tcW w:type="dxa" w:w="1800"/>
            <w:vAlign w:val="top"/>
          </w:tcPr>
          <w:p>
            <w:r>
              <w:rPr>
                <w:sz w:val="14"/>
              </w:rPr>
              <w:t>Prompting; robustness</w:t>
            </w:r>
          </w:p>
        </w:tc>
        <w:tc>
          <w:tcPr>
            <w:tcW w:type="dxa" w:w="1296"/>
            <w:vAlign w:val="top"/>
          </w:tcPr>
          <w:p>
            <w:r>
              <w:rPr>
                <w:sz w:val="14"/>
              </w:rPr>
              <w:t>extension</w:t>
            </w:r>
          </w:p>
        </w:tc>
      </w:tr>
      <w:tr>
        <w:tc>
          <w:tcPr>
            <w:tcW w:type="dxa" w:w="1800"/>
            <w:vAlign w:val="top"/>
          </w:tcPr>
          <w:p>
            <w:r>
              <w:rPr>
                <w:sz w:val="14"/>
              </w:rPr>
              <w:t>barke_grounded_2023</w:t>
            </w:r>
          </w:p>
        </w:tc>
        <w:tc>
          <w:tcPr>
            <w:tcW w:type="dxa" w:w="1008"/>
            <w:vAlign w:val="top"/>
          </w:tcPr>
          <w:p>
            <w:r>
              <w:rPr>
                <w:sz w:val="14"/>
              </w:rPr>
              <w:t>A1</w:t>
            </w:r>
          </w:p>
        </w:tc>
        <w:tc>
          <w:tcPr>
            <w:tcW w:type="dxa" w:w="5328"/>
            <w:vAlign w:val="top"/>
          </w:tcPr>
          <w:p>
            <w:r>
              <w:rPr>
                <w:sz w:val="14"/>
              </w:rPr>
              <w:t>Developers move between acceleration and exploration, so prompting operates both as local execution support and as solution-space navigation.</w:t>
            </w:r>
          </w:p>
        </w:tc>
        <w:tc>
          <w:tcPr>
            <w:tcW w:type="dxa" w:w="1800"/>
            <w:vAlign w:val="top"/>
          </w:tcPr>
          <w:p>
            <w:r>
              <w:rPr>
                <w:sz w:val="14"/>
              </w:rPr>
              <w:t>Prompting; workflow</w:t>
            </w:r>
          </w:p>
        </w:tc>
        <w:tc>
          <w:tcPr>
            <w:tcW w:type="dxa" w:w="1296"/>
            <w:vAlign w:val="top"/>
          </w:tcPr>
          <w:p>
            <w:r>
              <w:rPr>
                <w:sz w:val="14"/>
              </w:rPr>
              <w:t>replication</w:t>
            </w:r>
          </w:p>
        </w:tc>
      </w:tr>
      <w:tr>
        <w:tc>
          <w:tcPr>
            <w:tcW w:type="dxa" w:w="1800"/>
            <w:vAlign w:val="top"/>
          </w:tcPr>
          <w:p>
            <w:r>
              <w:rPr>
                <w:sz w:val="14"/>
              </w:rPr>
              <w:t>khojah_beyond_2024</w:t>
            </w:r>
          </w:p>
        </w:tc>
        <w:tc>
          <w:tcPr>
            <w:tcW w:type="dxa" w:w="1008"/>
            <w:vAlign w:val="top"/>
          </w:tcPr>
          <w:p>
            <w:r>
              <w:rPr>
                <w:sz w:val="14"/>
              </w:rPr>
              <w:t>A1</w:t>
            </w:r>
          </w:p>
        </w:tc>
        <w:tc>
          <w:tcPr>
            <w:tcW w:type="dxa" w:w="5328"/>
            <w:vAlign w:val="top"/>
          </w:tcPr>
          <w:p>
            <w:r>
              <w:rPr>
                <w:sz w:val="14"/>
              </w:rPr>
              <w:t>ChatGPT use extends beyond code generation into explanation, debugging, planning, and clarification across software-engineering activities.</w:t>
            </w:r>
          </w:p>
        </w:tc>
        <w:tc>
          <w:tcPr>
            <w:tcW w:type="dxa" w:w="1800"/>
            <w:vAlign w:val="top"/>
          </w:tcPr>
          <w:p>
            <w:r>
              <w:rPr>
                <w:sz w:val="14"/>
              </w:rPr>
              <w:t>Prompting; workflow</w:t>
            </w:r>
          </w:p>
        </w:tc>
        <w:tc>
          <w:tcPr>
            <w:tcW w:type="dxa" w:w="1296"/>
            <w:vAlign w:val="top"/>
          </w:tcPr>
          <w:p>
            <w:r>
              <w:rPr>
                <w:sz w:val="14"/>
              </w:rPr>
              <w:t>replication</w:t>
            </w:r>
          </w:p>
        </w:tc>
      </w:tr>
      <w:tr>
        <w:tc>
          <w:tcPr>
            <w:tcW w:type="dxa" w:w="1800"/>
            <w:vAlign w:val="top"/>
          </w:tcPr>
          <w:p>
            <w:r>
              <w:rPr>
                <w:sz w:val="14"/>
              </w:rPr>
              <w:t>fakhoury_llm-based_2024</w:t>
            </w:r>
          </w:p>
        </w:tc>
        <w:tc>
          <w:tcPr>
            <w:tcW w:type="dxa" w:w="1008"/>
            <w:vAlign w:val="top"/>
          </w:tcPr>
          <w:p>
            <w:r>
              <w:rPr>
                <w:sz w:val="14"/>
              </w:rPr>
              <w:t>A1</w:t>
            </w:r>
          </w:p>
        </w:tc>
        <w:tc>
          <w:tcPr>
            <w:tcW w:type="dxa" w:w="5328"/>
            <w:vAlign w:val="top"/>
          </w:tcPr>
          <w:p>
            <w:r>
              <w:rPr>
                <w:sz w:val="14"/>
              </w:rPr>
              <w:t>Interactive test-driven generation makes requirements, tests, corrective feedback, and validation part of the prompt loop.</w:t>
            </w:r>
          </w:p>
        </w:tc>
        <w:tc>
          <w:tcPr>
            <w:tcW w:type="dxa" w:w="1800"/>
            <w:vAlign w:val="top"/>
          </w:tcPr>
          <w:p>
            <w:r>
              <w:rPr>
                <w:sz w:val="14"/>
              </w:rPr>
              <w:t>Prompting; robustness</w:t>
            </w:r>
          </w:p>
        </w:tc>
        <w:tc>
          <w:tcPr>
            <w:tcW w:type="dxa" w:w="1296"/>
            <w:vAlign w:val="top"/>
          </w:tcPr>
          <w:p>
            <w:r>
              <w:rPr>
                <w:sz w:val="14"/>
              </w:rPr>
              <w:t>extension</w:t>
            </w:r>
          </w:p>
        </w:tc>
      </w:tr>
      <w:tr>
        <w:tc>
          <w:tcPr>
            <w:tcW w:type="dxa" w:w="1800"/>
            <w:vAlign w:val="top"/>
          </w:tcPr>
          <w:p>
            <w:r>
              <w:rPr>
                <w:sz w:val="14"/>
              </w:rPr>
              <w:t>hao_empirical_2024</w:t>
            </w:r>
          </w:p>
        </w:tc>
        <w:tc>
          <w:tcPr>
            <w:tcW w:type="dxa" w:w="1008"/>
            <w:vAlign w:val="top"/>
          </w:tcPr>
          <w:p>
            <w:r>
              <w:rPr>
                <w:sz w:val="14"/>
              </w:rPr>
              <w:t>A1</w:t>
            </w:r>
          </w:p>
        </w:tc>
        <w:tc>
          <w:tcPr>
            <w:tcW w:type="dxa" w:w="5328"/>
            <w:vAlign w:val="top"/>
          </w:tcPr>
          <w:p>
            <w:r>
              <w:rPr>
                <w:sz w:val="14"/>
              </w:rPr>
              <w:t>Shared GitHub conversations show multi-turn prompting in PRs and issues, externalising AI interaction into collaborative work.</w:t>
            </w:r>
          </w:p>
        </w:tc>
        <w:tc>
          <w:tcPr>
            <w:tcW w:type="dxa" w:w="1800"/>
            <w:vAlign w:val="top"/>
          </w:tcPr>
          <w:p>
            <w:r>
              <w:rPr>
                <w:sz w:val="14"/>
              </w:rPr>
              <w:t>Prompting; workflow</w:t>
            </w:r>
          </w:p>
        </w:tc>
        <w:tc>
          <w:tcPr>
            <w:tcW w:type="dxa" w:w="1296"/>
            <w:vAlign w:val="top"/>
          </w:tcPr>
          <w:p>
            <w:r>
              <w:rPr>
                <w:sz w:val="14"/>
              </w:rPr>
              <w:t>replication</w:t>
            </w:r>
          </w:p>
        </w:tc>
      </w:tr>
      <w:tr>
        <w:tc>
          <w:tcPr>
            <w:tcW w:type="dxa" w:w="1800"/>
            <w:vAlign w:val="top"/>
          </w:tcPr>
          <w:p>
            <w:r>
              <w:rPr>
                <w:sz w:val="14"/>
              </w:rPr>
              <w:t>larbi_when_2025</w:t>
            </w:r>
          </w:p>
        </w:tc>
        <w:tc>
          <w:tcPr>
            <w:tcW w:type="dxa" w:w="1008"/>
            <w:vAlign w:val="top"/>
          </w:tcPr>
          <w:p>
            <w:r>
              <w:rPr>
                <w:sz w:val="14"/>
              </w:rPr>
              <w:t>A1</w:t>
            </w:r>
          </w:p>
        </w:tc>
        <w:tc>
          <w:tcPr>
            <w:tcW w:type="dxa" w:w="5328"/>
            <w:vAlign w:val="top"/>
          </w:tcPr>
          <w:p>
            <w:r>
              <w:rPr>
                <w:sz w:val="14"/>
              </w:rPr>
              <w:t>Ambiguous, contradictory, and incomplete task descriptions degrade generated-code reliability, linking prompt quality to robustness.</w:t>
            </w:r>
          </w:p>
        </w:tc>
        <w:tc>
          <w:tcPr>
            <w:tcW w:type="dxa" w:w="1800"/>
            <w:vAlign w:val="top"/>
          </w:tcPr>
          <w:p>
            <w:r>
              <w:rPr>
                <w:sz w:val="14"/>
              </w:rPr>
              <w:t>Prompting; robustness</w:t>
            </w:r>
          </w:p>
        </w:tc>
        <w:tc>
          <w:tcPr>
            <w:tcW w:type="dxa" w:w="1296"/>
            <w:vAlign w:val="top"/>
          </w:tcPr>
          <w:p>
            <w:r>
              <w:rPr>
                <w:sz w:val="14"/>
              </w:rPr>
              <w:t>replication</w:t>
            </w:r>
          </w:p>
        </w:tc>
      </w:tr>
      <w:tr>
        <w:tc>
          <w:tcPr>
            <w:tcW w:type="dxa" w:w="1800"/>
            <w:vAlign w:val="top"/>
          </w:tcPr>
          <w:p>
            <w:r>
              <w:rPr>
                <w:sz w:val="14"/>
              </w:rPr>
              <w:t>chen_nlperturbator_2026</w:t>
            </w:r>
          </w:p>
        </w:tc>
        <w:tc>
          <w:tcPr>
            <w:tcW w:type="dxa" w:w="1008"/>
            <w:vAlign w:val="top"/>
          </w:tcPr>
          <w:p>
            <w:r>
              <w:rPr>
                <w:sz w:val="14"/>
              </w:rPr>
              <w:t>A1</w:t>
            </w:r>
          </w:p>
        </w:tc>
        <w:tc>
          <w:tcPr>
            <w:tcW w:type="dxa" w:w="5328"/>
            <w:vAlign w:val="top"/>
          </w:tcPr>
          <w:p>
            <w:r>
              <w:rPr>
                <w:sz w:val="14"/>
              </w:rPr>
              <w:t>Semantically preserving natural-language variations can change code-generation outcomes, showing that prompt wording remains a fragile interface.</w:t>
            </w:r>
          </w:p>
        </w:tc>
        <w:tc>
          <w:tcPr>
            <w:tcW w:type="dxa" w:w="1800"/>
            <w:vAlign w:val="top"/>
          </w:tcPr>
          <w:p>
            <w:r>
              <w:rPr>
                <w:sz w:val="14"/>
              </w:rPr>
              <w:t>Prompting; robustness</w:t>
            </w:r>
          </w:p>
        </w:tc>
        <w:tc>
          <w:tcPr>
            <w:tcW w:type="dxa" w:w="1296"/>
            <w:vAlign w:val="top"/>
          </w:tcPr>
          <w:p>
            <w:r>
              <w:rPr>
                <w:sz w:val="14"/>
              </w:rPr>
              <w:t>replication</w:t>
            </w:r>
          </w:p>
        </w:tc>
      </w:tr>
      <w:tr>
        <w:tc>
          <w:tcPr>
            <w:tcW w:type="dxa" w:w="1800"/>
            <w:vAlign w:val="top"/>
          </w:tcPr>
          <w:p>
            <w:r>
              <w:rPr>
                <w:sz w:val="14"/>
              </w:rPr>
              <w:t>li_refining_2025</w:t>
            </w:r>
          </w:p>
        </w:tc>
        <w:tc>
          <w:tcPr>
            <w:tcW w:type="dxa" w:w="1008"/>
            <w:vAlign w:val="top"/>
          </w:tcPr>
          <w:p>
            <w:r>
              <w:rPr>
                <w:sz w:val="14"/>
              </w:rPr>
              <w:t>A1</w:t>
            </w:r>
          </w:p>
        </w:tc>
        <w:tc>
          <w:tcPr>
            <w:tcW w:type="dxa" w:w="5328"/>
            <w:vAlign w:val="top"/>
          </w:tcPr>
          <w:p>
            <w:r>
              <w:rPr>
                <w:sz w:val="14"/>
              </w:rPr>
              <w:t>Faulty-premise prompts expose model compliance with misleading assumptions, turning prompting into a premise-validation problem.</w:t>
            </w:r>
          </w:p>
        </w:tc>
        <w:tc>
          <w:tcPr>
            <w:tcW w:type="dxa" w:w="1800"/>
            <w:vAlign w:val="top"/>
          </w:tcPr>
          <w:p>
            <w:r>
              <w:rPr>
                <w:sz w:val="14"/>
              </w:rPr>
              <w:t>Prompting; robustness</w:t>
            </w:r>
          </w:p>
        </w:tc>
        <w:tc>
          <w:tcPr>
            <w:tcW w:type="dxa" w:w="1296"/>
            <w:vAlign w:val="top"/>
          </w:tcPr>
          <w:p>
            <w:r>
              <w:rPr>
                <w:sz w:val="14"/>
              </w:rPr>
              <w:t>extension</w:t>
            </w:r>
          </w:p>
        </w:tc>
      </w:tr>
      <w:tr>
        <w:tc>
          <w:tcPr>
            <w:tcW w:type="dxa" w:w="1800"/>
            <w:vAlign w:val="top"/>
          </w:tcPr>
          <w:p>
            <w:r>
              <w:rPr>
                <w:sz w:val="14"/>
              </w:rPr>
              <w:t>mozannar_reading_2024</w:t>
            </w:r>
          </w:p>
        </w:tc>
        <w:tc>
          <w:tcPr>
            <w:tcW w:type="dxa" w:w="1008"/>
            <w:vAlign w:val="top"/>
          </w:tcPr>
          <w:p>
            <w:r>
              <w:rPr>
                <w:sz w:val="14"/>
              </w:rPr>
              <w:t>A1</w:t>
            </w:r>
          </w:p>
        </w:tc>
        <w:tc>
          <w:tcPr>
            <w:tcW w:type="dxa" w:w="5328"/>
            <w:vAlign w:val="top"/>
          </w:tcPr>
          <w:p>
            <w:r>
              <w:rPr>
                <w:sz w:val="14"/>
              </w:rPr>
              <w:t>AI assistance creates reading, comparison, editing, rejection, and verification costs that condition whether workflow acceleration is realised.</w:t>
            </w:r>
          </w:p>
        </w:tc>
        <w:tc>
          <w:tcPr>
            <w:tcW w:type="dxa" w:w="1800"/>
            <w:vAlign w:val="top"/>
          </w:tcPr>
          <w:p>
            <w:r>
              <w:rPr>
                <w:sz w:val="14"/>
              </w:rPr>
              <w:t>Workflow; robustness</w:t>
            </w:r>
          </w:p>
        </w:tc>
        <w:tc>
          <w:tcPr>
            <w:tcW w:type="dxa" w:w="1296"/>
            <w:vAlign w:val="top"/>
          </w:tcPr>
          <w:p>
            <w:r>
              <w:rPr>
                <w:sz w:val="14"/>
              </w:rPr>
              <w:t>extension</w:t>
            </w:r>
          </w:p>
        </w:tc>
      </w:tr>
      <w:tr>
        <w:tc>
          <w:tcPr>
            <w:tcW w:type="dxa" w:w="1800"/>
            <w:vAlign w:val="top"/>
          </w:tcPr>
          <w:p>
            <w:r>
              <w:rPr>
                <w:sz w:val="14"/>
              </w:rPr>
              <w:t>stray_human-ai_2025</w:t>
            </w:r>
          </w:p>
        </w:tc>
        <w:tc>
          <w:tcPr>
            <w:tcW w:type="dxa" w:w="1008"/>
            <w:vAlign w:val="top"/>
          </w:tcPr>
          <w:p>
            <w:r>
              <w:rPr>
                <w:sz w:val="14"/>
              </w:rPr>
              <w:t>A1</w:t>
            </w:r>
          </w:p>
        </w:tc>
        <w:tc>
          <w:tcPr>
            <w:tcW w:type="dxa" w:w="5328"/>
            <w:vAlign w:val="top"/>
          </w:tcPr>
          <w:p>
            <w:r>
              <w:rPr>
                <w:sz w:val="14"/>
              </w:rPr>
              <w:t>Developers delegate subtasks while retaining review and trust calibration, showing delegation and oversight as coupled workflow behaviours.</w:t>
            </w:r>
          </w:p>
        </w:tc>
        <w:tc>
          <w:tcPr>
            <w:tcW w:type="dxa" w:w="1800"/>
            <w:vAlign w:val="top"/>
          </w:tcPr>
          <w:p>
            <w:r>
              <w:rPr>
                <w:sz w:val="14"/>
              </w:rPr>
              <w:t>Workflow; robustness</w:t>
            </w:r>
          </w:p>
        </w:tc>
        <w:tc>
          <w:tcPr>
            <w:tcW w:type="dxa" w:w="1296"/>
            <w:vAlign w:val="top"/>
          </w:tcPr>
          <w:p>
            <w:r>
              <w:rPr>
                <w:sz w:val="14"/>
              </w:rPr>
              <w:t>extension</w:t>
            </w:r>
          </w:p>
        </w:tc>
      </w:tr>
      <w:tr>
        <w:tc>
          <w:tcPr>
            <w:tcW w:type="dxa" w:w="1800"/>
            <w:vAlign w:val="top"/>
          </w:tcPr>
          <w:p>
            <w:r>
              <w:rPr>
                <w:sz w:val="14"/>
              </w:rPr>
              <w:t>grewal_analyzing_2024</w:t>
            </w:r>
          </w:p>
        </w:tc>
        <w:tc>
          <w:tcPr>
            <w:tcW w:type="dxa" w:w="1008"/>
            <w:vAlign w:val="top"/>
          </w:tcPr>
          <w:p>
            <w:r>
              <w:rPr>
                <w:sz w:val="14"/>
              </w:rPr>
              <w:t>A2</w:t>
            </w:r>
          </w:p>
        </w:tc>
        <w:tc>
          <w:tcPr>
            <w:tcW w:type="dxa" w:w="5328"/>
            <w:vAlign w:val="top"/>
          </w:tcPr>
          <w:p>
            <w:r>
              <w:rPr>
                <w:sz w:val="14"/>
              </w:rPr>
              <w:t>ChatGPT-generated code enters repositories through commit-level reuse patterns, making AI output part of normal contribution workflows.</w:t>
            </w:r>
          </w:p>
        </w:tc>
        <w:tc>
          <w:tcPr>
            <w:tcW w:type="dxa" w:w="1800"/>
            <w:vAlign w:val="top"/>
          </w:tcPr>
          <w:p>
            <w:r>
              <w:rPr>
                <w:sz w:val="14"/>
              </w:rPr>
              <w:t>Workflow; robustness</w:t>
            </w:r>
          </w:p>
        </w:tc>
        <w:tc>
          <w:tcPr>
            <w:tcW w:type="dxa" w:w="1296"/>
            <w:vAlign w:val="top"/>
          </w:tcPr>
          <w:p>
            <w:r>
              <w:rPr>
                <w:sz w:val="14"/>
              </w:rPr>
              <w:t>extension</w:t>
            </w:r>
          </w:p>
        </w:tc>
      </w:tr>
      <w:tr>
        <w:tc>
          <w:tcPr>
            <w:tcW w:type="dxa" w:w="1800"/>
            <w:vAlign w:val="top"/>
          </w:tcPr>
          <w:p>
            <w:r>
              <w:rPr>
                <w:sz w:val="14"/>
              </w:rPr>
              <w:t>tufano_developers_2026</w:t>
            </w:r>
          </w:p>
        </w:tc>
        <w:tc>
          <w:tcPr>
            <w:tcW w:type="dxa" w:w="1008"/>
            <w:vAlign w:val="top"/>
          </w:tcPr>
          <w:p>
            <w:r>
              <w:rPr>
                <w:sz w:val="14"/>
              </w:rPr>
              <w:t>A2</w:t>
            </w:r>
          </w:p>
        </w:tc>
        <w:tc>
          <w:tcPr>
            <w:tcW w:type="dxa" w:w="5328"/>
            <w:vAlign w:val="top"/>
          </w:tcPr>
          <w:p>
            <w:r>
              <w:rPr>
                <w:sz w:val="14"/>
              </w:rPr>
              <w:t>Self-admitted AI use in open-source artefacts makes AI assistance traceable within project history and review contexts.</w:t>
            </w:r>
          </w:p>
        </w:tc>
        <w:tc>
          <w:tcPr>
            <w:tcW w:type="dxa" w:w="1800"/>
            <w:vAlign w:val="top"/>
          </w:tcPr>
          <w:p>
            <w:r>
              <w:rPr>
                <w:sz w:val="14"/>
              </w:rPr>
              <w:t>Workflow; robustness</w:t>
            </w:r>
          </w:p>
        </w:tc>
        <w:tc>
          <w:tcPr>
            <w:tcW w:type="dxa" w:w="1296"/>
            <w:vAlign w:val="top"/>
          </w:tcPr>
          <w:p>
            <w:r>
              <w:rPr>
                <w:sz w:val="14"/>
              </w:rPr>
              <w:t>extension</w:t>
            </w:r>
          </w:p>
        </w:tc>
      </w:tr>
      <w:tr>
        <w:tc>
          <w:tcPr>
            <w:tcW w:type="dxa" w:w="1800"/>
            <w:vAlign w:val="top"/>
          </w:tcPr>
          <w:p>
            <w:r>
              <w:rPr>
                <w:sz w:val="14"/>
              </w:rPr>
              <w:t>xia_agentless_2024</w:t>
            </w:r>
          </w:p>
        </w:tc>
        <w:tc>
          <w:tcPr>
            <w:tcW w:type="dxa" w:w="1008"/>
            <w:vAlign w:val="top"/>
          </w:tcPr>
          <w:p>
            <w:r>
              <w:rPr>
                <w:sz w:val="14"/>
              </w:rPr>
              <w:t>A1</w:t>
            </w:r>
          </w:p>
        </w:tc>
        <w:tc>
          <w:tcPr>
            <w:tcW w:type="dxa" w:w="5328"/>
            <w:vAlign w:val="top"/>
          </w:tcPr>
          <w:p>
            <w:r>
              <w:rPr>
                <w:sz w:val="14"/>
              </w:rPr>
              <w:t>Agentless repair decomposes localisation, patch generation, and validation, shifting human work towards orchestration and inspection.</w:t>
            </w:r>
          </w:p>
        </w:tc>
        <w:tc>
          <w:tcPr>
            <w:tcW w:type="dxa" w:w="1800"/>
            <w:vAlign w:val="top"/>
          </w:tcPr>
          <w:p>
            <w:r>
              <w:rPr>
                <w:sz w:val="14"/>
              </w:rPr>
              <w:t>Workflow; robustness</w:t>
            </w:r>
          </w:p>
        </w:tc>
        <w:tc>
          <w:tcPr>
            <w:tcW w:type="dxa" w:w="1296"/>
            <w:vAlign w:val="top"/>
          </w:tcPr>
          <w:p>
            <w:r>
              <w:rPr>
                <w:sz w:val="14"/>
              </w:rPr>
              <w:t>replication</w:t>
            </w:r>
          </w:p>
        </w:tc>
      </w:tr>
      <w:tr>
        <w:tc>
          <w:tcPr>
            <w:tcW w:type="dxa" w:w="1800"/>
            <w:vAlign w:val="top"/>
          </w:tcPr>
          <w:p>
            <w:r>
              <w:rPr>
                <w:sz w:val="14"/>
              </w:rPr>
              <w:t>zhang_autocoderover_2024</w:t>
            </w:r>
          </w:p>
        </w:tc>
        <w:tc>
          <w:tcPr>
            <w:tcW w:type="dxa" w:w="1008"/>
            <w:vAlign w:val="top"/>
          </w:tcPr>
          <w:p>
            <w:r>
              <w:rPr>
                <w:sz w:val="14"/>
              </w:rPr>
              <w:t>A1</w:t>
            </w:r>
          </w:p>
        </w:tc>
        <w:tc>
          <w:tcPr>
            <w:tcW w:type="dxa" w:w="5328"/>
            <w:vAlign w:val="top"/>
          </w:tcPr>
          <w:p>
            <w:r>
              <w:rPr>
                <w:sz w:val="14"/>
              </w:rPr>
              <w:t>Autonomous program improvement depends on retrieval, context construction, patch generation, and validation rather than unconstrained autonomy.</w:t>
            </w:r>
          </w:p>
        </w:tc>
        <w:tc>
          <w:tcPr>
            <w:tcW w:type="dxa" w:w="1800"/>
            <w:vAlign w:val="top"/>
          </w:tcPr>
          <w:p>
            <w:r>
              <w:rPr>
                <w:sz w:val="14"/>
              </w:rPr>
              <w:t>Workflow; robustness</w:t>
            </w:r>
          </w:p>
        </w:tc>
        <w:tc>
          <w:tcPr>
            <w:tcW w:type="dxa" w:w="1296"/>
            <w:vAlign w:val="top"/>
          </w:tcPr>
          <w:p>
            <w:r>
              <w:rPr>
                <w:sz w:val="14"/>
              </w:rPr>
              <w:t>replication</w:t>
            </w:r>
          </w:p>
        </w:tc>
      </w:tr>
      <w:tr>
        <w:tc>
          <w:tcPr>
            <w:tcW w:type="dxa" w:w="1800"/>
            <w:vAlign w:val="top"/>
          </w:tcPr>
          <w:p>
            <w:r>
              <w:rPr>
                <w:sz w:val="14"/>
              </w:rPr>
              <w:t>yin_comprehensive_2025</w:t>
            </w:r>
          </w:p>
        </w:tc>
        <w:tc>
          <w:tcPr>
            <w:tcW w:type="dxa" w:w="1008"/>
            <w:vAlign w:val="top"/>
          </w:tcPr>
          <w:p>
            <w:r>
              <w:rPr>
                <w:sz w:val="14"/>
              </w:rPr>
              <w:t>A1</w:t>
            </w:r>
          </w:p>
        </w:tc>
        <w:tc>
          <w:tcPr>
            <w:tcW w:type="dxa" w:w="5328"/>
            <w:vAlign w:val="top"/>
          </w:tcPr>
          <w:p>
            <w:r>
              <w:rPr>
                <w:sz w:val="14"/>
              </w:rPr>
              <w:t>Agent frameworks perform unevenly across code-centric tasks, so agentic benefits and risks depend on workflow design and task structure.</w:t>
            </w:r>
          </w:p>
        </w:tc>
        <w:tc>
          <w:tcPr>
            <w:tcW w:type="dxa" w:w="1800"/>
            <w:vAlign w:val="top"/>
          </w:tcPr>
          <w:p>
            <w:r>
              <w:rPr>
                <w:sz w:val="14"/>
              </w:rPr>
              <w:t>Workflow; robustness</w:t>
            </w:r>
          </w:p>
        </w:tc>
        <w:tc>
          <w:tcPr>
            <w:tcW w:type="dxa" w:w="1296"/>
            <w:vAlign w:val="top"/>
          </w:tcPr>
          <w:p>
            <w:r>
              <w:rPr>
                <w:sz w:val="14"/>
              </w:rPr>
              <w:t>tension</w:t>
            </w:r>
          </w:p>
        </w:tc>
      </w:tr>
      <w:tr>
        <w:tc>
          <w:tcPr>
            <w:tcW w:type="dxa" w:w="1800"/>
            <w:vAlign w:val="top"/>
          </w:tcPr>
          <w:p>
            <w:r>
              <w:rPr>
                <w:sz w:val="14"/>
              </w:rPr>
              <w:t>liu_e2edev_2026</w:t>
            </w:r>
          </w:p>
        </w:tc>
        <w:tc>
          <w:tcPr>
            <w:tcW w:type="dxa" w:w="1008"/>
            <w:vAlign w:val="top"/>
          </w:tcPr>
          <w:p>
            <w:r>
              <w:rPr>
                <w:sz w:val="14"/>
              </w:rPr>
              <w:t>A2</w:t>
            </w:r>
          </w:p>
        </w:tc>
        <w:tc>
          <w:tcPr>
            <w:tcW w:type="dxa" w:w="5328"/>
            <w:vAlign w:val="top"/>
          </w:tcPr>
          <w:p>
            <w:r>
              <w:rPr>
                <w:sz w:val="14"/>
              </w:rPr>
              <w:t>End-to-end development benchmarks expose multi-step coordination failures missed by isolated code-generation evaluations.</w:t>
            </w:r>
          </w:p>
        </w:tc>
        <w:tc>
          <w:tcPr>
            <w:tcW w:type="dxa" w:w="1800"/>
            <w:vAlign w:val="top"/>
          </w:tcPr>
          <w:p>
            <w:r>
              <w:rPr>
                <w:sz w:val="14"/>
              </w:rPr>
              <w:t>Workflow; robustness</w:t>
            </w:r>
          </w:p>
        </w:tc>
        <w:tc>
          <w:tcPr>
            <w:tcW w:type="dxa" w:w="1296"/>
            <w:vAlign w:val="top"/>
          </w:tcPr>
          <w:p>
            <w:r>
              <w:rPr>
                <w:sz w:val="14"/>
              </w:rPr>
              <w:t>extension</w:t>
            </w:r>
          </w:p>
        </w:tc>
      </w:tr>
      <w:tr>
        <w:tc>
          <w:tcPr>
            <w:tcW w:type="dxa" w:w="1800"/>
            <w:vAlign w:val="top"/>
          </w:tcPr>
          <w:p>
            <w:r>
              <w:rPr>
                <w:sz w:val="14"/>
              </w:rPr>
              <w:t>pu_assistance_2025</w:t>
            </w:r>
          </w:p>
        </w:tc>
        <w:tc>
          <w:tcPr>
            <w:tcW w:type="dxa" w:w="1008"/>
            <w:vAlign w:val="top"/>
          </w:tcPr>
          <w:p>
            <w:r>
              <w:rPr>
                <w:sz w:val="14"/>
              </w:rPr>
              <w:t>A2</w:t>
            </w:r>
          </w:p>
        </w:tc>
        <w:tc>
          <w:tcPr>
            <w:tcW w:type="dxa" w:w="5328"/>
            <w:vAlign w:val="top"/>
          </w:tcPr>
          <w:p>
            <w:r>
              <w:rPr>
                <w:sz w:val="14"/>
              </w:rPr>
              <w:t>Proactive assistance can reduce effort when timely, but becomes disruptive when mistimed, irrelevant, or intrusive.</w:t>
            </w:r>
          </w:p>
        </w:tc>
        <w:tc>
          <w:tcPr>
            <w:tcW w:type="dxa" w:w="1800"/>
            <w:vAlign w:val="top"/>
          </w:tcPr>
          <w:p>
            <w:r>
              <w:rPr>
                <w:sz w:val="14"/>
              </w:rPr>
              <w:t>Workflow; robustness</w:t>
            </w:r>
          </w:p>
        </w:tc>
        <w:tc>
          <w:tcPr>
            <w:tcW w:type="dxa" w:w="1296"/>
            <w:vAlign w:val="top"/>
          </w:tcPr>
          <w:p>
            <w:r>
              <w:rPr>
                <w:sz w:val="14"/>
              </w:rPr>
              <w:t>tension</w:t>
            </w:r>
          </w:p>
        </w:tc>
      </w:tr>
      <w:tr>
        <w:tc>
          <w:tcPr>
            <w:tcW w:type="dxa" w:w="1800"/>
            <w:vAlign w:val="top"/>
          </w:tcPr>
          <w:p>
            <w:r>
              <w:rPr>
                <w:sz w:val="14"/>
              </w:rPr>
              <w:t>olausson_is_2024</w:t>
            </w:r>
          </w:p>
        </w:tc>
        <w:tc>
          <w:tcPr>
            <w:tcW w:type="dxa" w:w="1008"/>
            <w:vAlign w:val="top"/>
          </w:tcPr>
          <w:p>
            <w:r>
              <w:rPr>
                <w:sz w:val="14"/>
              </w:rPr>
              <w:t>A1</w:t>
            </w:r>
          </w:p>
        </w:tc>
        <w:tc>
          <w:tcPr>
            <w:tcW w:type="dxa" w:w="5328"/>
            <w:vAlign w:val="top"/>
          </w:tcPr>
          <w:p>
            <w:r>
              <w:rPr>
                <w:sz w:val="14"/>
              </w:rPr>
              <w:t>Self-repair can help selectively but repeated repair is not reliably superior to sampling more candidates under cost constraints.</w:t>
            </w:r>
          </w:p>
        </w:tc>
        <w:tc>
          <w:tcPr>
            <w:tcW w:type="dxa" w:w="1800"/>
            <w:vAlign w:val="top"/>
          </w:tcPr>
          <w:p>
            <w:r>
              <w:rPr>
                <w:sz w:val="14"/>
              </w:rPr>
              <w:t>Prompting; robustness</w:t>
            </w:r>
          </w:p>
        </w:tc>
        <w:tc>
          <w:tcPr>
            <w:tcW w:type="dxa" w:w="1296"/>
            <w:vAlign w:val="top"/>
          </w:tcPr>
          <w:p>
            <w:r>
              <w:rPr>
                <w:sz w:val="14"/>
              </w:rPr>
              <w:t>tension</w:t>
            </w:r>
          </w:p>
        </w:tc>
      </w:tr>
      <w:tr>
        <w:tc>
          <w:tcPr>
            <w:tcW w:type="dxa" w:w="1800"/>
            <w:vAlign w:val="top"/>
          </w:tcPr>
          <w:p>
            <w:r>
              <w:rPr>
                <w:sz w:val="14"/>
              </w:rPr>
              <w:t>kong_demystifying_2025</w:t>
            </w:r>
          </w:p>
        </w:tc>
        <w:tc>
          <w:tcPr>
            <w:tcW w:type="dxa" w:w="1008"/>
            <w:vAlign w:val="top"/>
          </w:tcPr>
          <w:p>
            <w:r>
              <w:rPr>
                <w:sz w:val="14"/>
              </w:rPr>
              <w:t>A1</w:t>
            </w:r>
          </w:p>
        </w:tc>
        <w:tc>
          <w:tcPr>
            <w:tcW w:type="dxa" w:w="5328"/>
            <w:vAlign w:val="top"/>
          </w:tcPr>
          <w:p>
            <w:r>
              <w:rPr>
                <w:sz w:val="14"/>
              </w:rPr>
              <w:t>Program-repair performance can reflect benchmark memorisation, challenging the validity of some apparent robustness gains.</w:t>
            </w:r>
          </w:p>
        </w:tc>
        <w:tc>
          <w:tcPr>
            <w:tcW w:type="dxa" w:w="1800"/>
            <w:vAlign w:val="top"/>
          </w:tcPr>
          <w:p>
            <w:r>
              <w:rPr>
                <w:sz w:val="14"/>
              </w:rPr>
              <w:t>Workflow; robustness</w:t>
            </w:r>
          </w:p>
        </w:tc>
        <w:tc>
          <w:tcPr>
            <w:tcW w:type="dxa" w:w="1296"/>
            <w:vAlign w:val="top"/>
          </w:tcPr>
          <w:p>
            <w:r>
              <w:rPr>
                <w:sz w:val="14"/>
              </w:rPr>
              <w:t>tension</w:t>
            </w:r>
          </w:p>
        </w:tc>
      </w:tr>
      <w:tr>
        <w:tc>
          <w:tcPr>
            <w:tcW w:type="dxa" w:w="1800"/>
            <w:vAlign w:val="top"/>
          </w:tcPr>
          <w:p>
            <w:r>
              <w:rPr>
                <w:sz w:val="14"/>
              </w:rPr>
              <w:t>aalsteinsson_rethinking_2025</w:t>
            </w:r>
          </w:p>
        </w:tc>
        <w:tc>
          <w:tcPr>
            <w:tcW w:type="dxa" w:w="1008"/>
            <w:vAlign w:val="top"/>
          </w:tcPr>
          <w:p>
            <w:r>
              <w:rPr>
                <w:sz w:val="14"/>
              </w:rPr>
              <w:t>A1</w:t>
            </w:r>
          </w:p>
        </w:tc>
        <w:tc>
          <w:tcPr>
            <w:tcW w:type="dxa" w:w="5328"/>
            <w:vAlign w:val="top"/>
          </w:tcPr>
          <w:p>
            <w:r>
              <w:rPr>
                <w:sz w:val="14"/>
              </w:rPr>
              <w:t>AI-led review can be preferred, yet remains bounded by actionable issue detection and integration with human review workflows.</w:t>
            </w:r>
          </w:p>
        </w:tc>
        <w:tc>
          <w:tcPr>
            <w:tcW w:type="dxa" w:w="1800"/>
            <w:vAlign w:val="top"/>
          </w:tcPr>
          <w:p>
            <w:r>
              <w:rPr>
                <w:sz w:val="14"/>
              </w:rPr>
              <w:t>Workflow; robustness</w:t>
            </w:r>
          </w:p>
        </w:tc>
        <w:tc>
          <w:tcPr>
            <w:tcW w:type="dxa" w:w="1296"/>
            <w:vAlign w:val="top"/>
          </w:tcPr>
          <w:p>
            <w:r>
              <w:rPr>
                <w:sz w:val="14"/>
              </w:rPr>
              <w:t>tension</w:t>
            </w:r>
          </w:p>
        </w:tc>
      </w:tr>
      <w:tr>
        <w:tc>
          <w:tcPr>
            <w:tcW w:type="dxa" w:w="1800"/>
            <w:vAlign w:val="top"/>
          </w:tcPr>
          <w:p>
            <w:r>
              <w:rPr>
                <w:sz w:val="14"/>
              </w:rPr>
              <w:t>agarwal_copilot_2024</w:t>
            </w:r>
          </w:p>
        </w:tc>
        <w:tc>
          <w:tcPr>
            <w:tcW w:type="dxa" w:w="1008"/>
            <w:vAlign w:val="top"/>
          </w:tcPr>
          <w:p>
            <w:r>
              <w:rPr>
                <w:sz w:val="14"/>
              </w:rPr>
              <w:t>A1</w:t>
            </w:r>
          </w:p>
        </w:tc>
        <w:tc>
          <w:tcPr>
            <w:tcW w:type="dxa" w:w="5328"/>
            <w:vAlign w:val="top"/>
          </w:tcPr>
          <w:p>
            <w:r>
              <w:rPr>
                <w:sz w:val="14"/>
              </w:rPr>
              <w:t>Scenario-level evaluation treats reliability as multi-scenario interaction quality across documentation, tests, warnings, and repository-context tasks.</w:t>
            </w:r>
          </w:p>
        </w:tc>
        <w:tc>
          <w:tcPr>
            <w:tcW w:type="dxa" w:w="1800"/>
            <w:vAlign w:val="top"/>
          </w:tcPr>
          <w:p>
            <w:r>
              <w:rPr>
                <w:sz w:val="14"/>
              </w:rPr>
              <w:t>Prompting; workflow; robustness</w:t>
            </w:r>
          </w:p>
        </w:tc>
        <w:tc>
          <w:tcPr>
            <w:tcW w:type="dxa" w:w="1296"/>
            <w:vAlign w:val="top"/>
          </w:tcPr>
          <w:p>
            <w:r>
              <w:rPr>
                <w:sz w:val="14"/>
              </w:rPr>
              <w:t>extension</w:t>
            </w:r>
          </w:p>
        </w:tc>
      </w:tr>
    </w:tbl>
    <w:p>
      <w:pPr>
        <w:pStyle w:val="Heading1"/>
      </w:pPr>
      <w:r>
        <w:t>2. Analytical synthesis</w:t>
      </w:r>
    </w:p>
    <w:p>
      <w:r>
        <w:t>Prompting, workflow integration, and robustness converge on a single HAI claim: prompt quality is a system-level property of the development setting, not merely an individual user skill. In Phase 1.1, prompt formulation was observed as a structured practice in which developers specify intent, target code context, and desired edit behaviour [1]. The same interactional logic appears in workflow evidence, where programmers move between acceleration and exploration depending on whether the next step is already known or whether the AI is being used to search a solution space [2]. Observational evidence broadens this point because ChatGPT is used for explanation, debugging, planning, and clarification, not only for code generation [3]. Robustness evidence then explains why these practices matter: interactive generation and test-driven correction make requirements, tests, feedback, and validation part of the prompt loop [4]. Prompting is therefore infrastructure for coordinating task framing, context exposure, correction, and review across the software process.</w:t>
      </w:r>
    </w:p>
    <w:p>
      <w:r>
        <w:t>This synthesis also reveals a fragility-delegation paradox. Developers increasingly delegate work to AI systems, but the main interface through which they delegate remains brittle. Collaborative GitHub evidence shows that shared ChatGPT conversations in pull requests and issues are often multi-turn, with 33.2% of PR conversations and 36.9% of issue conversations involving multiple turns; this makes delegation visible to others and embeds conversational traces into review work [5]. Yet the robustness cluster shows that small defects in this same channel can alter outcomes. Ambiguous, contradictory, and incomplete task descriptions reduce reliability [6], semantically similar wording can change Pass@1 outcomes across Code LLMs [7], and faulty-premise prompts can lead models to comply with misleading assumptions instead of challenging them [8]. The resulting tension is not that delegation is irrational; rather, delegation depends on a fragile natural-language interface that must be inspected as carefully as the generated artefact.</w:t>
      </w:r>
    </w:p>
    <w:p>
      <w:r>
        <w:t>Workflow evidence shows how this fragility becomes a cost structure. AI suggestions are useful only when accepting, editing, or rejecting them is cheaper than manual implementation; otherwise, reading and verification costs can absorb the apparent gain [9]. Mixed-methods evidence on Copilot and ChatGPT similarly depicts developers moving between subtask delegation and review, with trust calibration deciding when an output can be used [10]. Once AI-generated code enters open-source repositories through commits [11] or is explicitly disclosed as self-admitted AI assistance [12], the interaction no longer belongs only to the original developer. It becomes a project artefact that future contributors may need to audit, contextualise, or contest. Thus, the interface problem propagates into collaborative accountability.</w:t>
      </w:r>
    </w:p>
    <w:p>
      <w:r>
        <w:t>Agentic workflows amplify both sides of the pattern. Agentless repair decomposes work into localisation, repair generation, and validation, moving the developer towards orchestration and inspection [13]. AutoCodeRover similarly shows that autonomous program improvement is credible only when retrieval, context construction, patch generation, and validation are structured [14]. However, agent-framework evaluations show uneven performance across code-centric tasks [15], and end-to-end development benchmarks expose failures in requirement interpretation, test generation, implementation, and integration that isolated code-generation tasks miss [16]. Agentic settings therefore intensify the benefits identified in prompting and workflow studies because they can coordinate larger task sequences, but they also intensify risk because a brittle prompt or context error can cascade through several automated steps.</w:t>
      </w:r>
    </w:p>
    <w:p>
      <w:r>
        <w:t>The corpus also contains tensions and incompatible evaluation frameworks. Proactive assistance can reduce effort when timely, but becomes disruptive when irrelevant or mistimed, so the same intervention may be either assistance or interruption [17]. Self-repair can recover some failed generations, but repeated repair is not reliably superior to sampling additional candidates once cost is considered [18]. Program-repair success may also reflect memorisation of benchmark fixes rather than robust reasoning [19]. In code review, AI-led assistance may be preferred, but preference is bounded by issue detection, actionability, and integration with human review [20]. Scenario-level evaluation harnesses respond to this fragmentation by measuring documentation, tests, warning resolution, and repository-context tasks rather than single-shot correctness alone [21]. These differences make simple cross-paper comparisons unsafe unless the unit of analysis is specified: prompt, conversation, suggestion, commit, repair pipeline, or end-to-end task.</w:t>
      </w:r>
    </w:p>
    <w:p>
      <w:r>
        <w:t>The main research gaps follow directly from these convergences. The CORE evidence needs longitudinal studies that trace how prompt practices, validation routines, and AI-generated artefacts evolve after adoption, especially in teams where disclosure and review norms are unstable. It also needs evaluation designs that connect natural-language perturbation, faulty premises, and workflow cost models to real repository outcomes. Finally, agentic studies need stronger evidence on human oversight: when developers configure agents, when they intervene, how they recover from cascading errors, and which forms of traceability make autonomous work auditable rather than merely impressive.</w:t>
      </w:r>
    </w:p>
    <w:p>
      <w:pPr>
        <w:pStyle w:val="Heading1"/>
      </w:pPr>
      <w:r>
        <w:t>3. Proposition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Pr>
          <w:p>
            <w:r>
              <w:rPr>
                <w:sz w:val="14"/>
              </w:rPr>
              <w:t>Proposition ID</w:t>
            </w:r>
          </w:p>
        </w:tc>
        <w:tc>
          <w:tcPr>
            <w:tcW w:type="dxa" w:w="2045"/>
            <w:vAlign w:val="top"/>
          </w:tcPr>
          <w:p>
            <w:r>
              <w:rPr>
                <w:sz w:val="14"/>
              </w:rPr>
              <w:t>Statement</w:t>
            </w:r>
          </w:p>
        </w:tc>
        <w:tc>
          <w:tcPr>
            <w:tcW w:type="dxa" w:w="2045"/>
            <w:vAlign w:val="top"/>
          </w:tcPr>
          <w:p>
            <w:r>
              <w:rPr>
                <w:sz w:val="14"/>
              </w:rPr>
              <w:t>Supporting bibkeys</w:t>
            </w:r>
          </w:p>
        </w:tc>
        <w:tc>
          <w:tcPr>
            <w:tcW w:type="dxa" w:w="2045"/>
            <w:vAlign w:val="top"/>
          </w:tcPr>
          <w:p>
            <w:r>
              <w:rPr>
                <w:sz w:val="14"/>
              </w:rPr>
              <w:t>Confidence level</w:t>
            </w:r>
          </w:p>
        </w:tc>
        <w:tc>
          <w:tcPr>
            <w:tcW w:type="dxa" w:w="2045"/>
            <w:vAlign w:val="top"/>
          </w:tcPr>
          <w:p>
            <w:r>
              <w:rPr>
                <w:sz w:val="14"/>
              </w:rPr>
              <w:t>Caveat</w:t>
            </w:r>
          </w:p>
        </w:tc>
      </w:tr>
      <w:tr>
        <w:tc>
          <w:tcPr>
            <w:tcW w:type="dxa" w:w="2045"/>
            <w:vAlign w:val="top"/>
          </w:tcPr>
          <w:p>
            <w:r>
              <w:rPr>
                <w:sz w:val="14"/>
              </w:rPr>
              <w:t>P2.1-1</w:t>
            </w:r>
          </w:p>
        </w:tc>
        <w:tc>
          <w:tcPr>
            <w:tcW w:type="dxa" w:w="2045"/>
            <w:vAlign w:val="top"/>
          </w:tcPr>
          <w:p>
            <w:r>
              <w:rPr>
                <w:sz w:val="14"/>
              </w:rPr>
              <w:t>Prompt quality predicts interaction outcomes more strongly when it includes task intent, code context, constraints, and validation feedback than when it is treated as isolated wording.</w:t>
            </w:r>
          </w:p>
        </w:tc>
        <w:tc>
          <w:tcPr>
            <w:tcW w:type="dxa" w:w="2045"/>
            <w:vAlign w:val="top"/>
          </w:tcPr>
          <w:p>
            <w:r>
              <w:rPr>
                <w:sz w:val="14"/>
              </w:rPr>
              <w:t>nam_understanding_2025; fakhoury_llm-based_2024; larbi_when_2025; chen_nlperturbator_2026</w:t>
            </w:r>
          </w:p>
        </w:tc>
        <w:tc>
          <w:tcPr>
            <w:tcW w:type="dxa" w:w="2045"/>
            <w:vAlign w:val="top"/>
          </w:tcPr>
          <w:p>
            <w:r>
              <w:rPr>
                <w:sz w:val="14"/>
              </w:rPr>
              <w:t>high</w:t>
            </w:r>
          </w:p>
        </w:tc>
        <w:tc>
          <w:tcPr>
            <w:tcW w:type="dxa" w:w="2045"/>
            <w:vAlign w:val="top"/>
          </w:tcPr>
          <w:p>
            <w:r>
              <w:rPr>
                <w:sz w:val="14"/>
              </w:rPr>
              <w:t>The proposition should be tested against field settings where prompt logs are incomplete.</w:t>
            </w:r>
          </w:p>
        </w:tc>
      </w:tr>
      <w:tr>
        <w:tc>
          <w:tcPr>
            <w:tcW w:type="dxa" w:w="2045"/>
            <w:vAlign w:val="top"/>
          </w:tcPr>
          <w:p>
            <w:r>
              <w:rPr>
                <w:sz w:val="14"/>
              </w:rPr>
              <w:t>P2.1-2</w:t>
            </w:r>
          </w:p>
        </w:tc>
        <w:tc>
          <w:tcPr>
            <w:tcW w:type="dxa" w:w="2045"/>
            <w:vAlign w:val="top"/>
          </w:tcPr>
          <w:p>
            <w:r>
              <w:rPr>
                <w:sz w:val="14"/>
              </w:rPr>
              <w:t>Delegating software tasks to AI increases downstream review work when conversational traces or generated artefacts enter collaborative repositories.</w:t>
            </w:r>
          </w:p>
        </w:tc>
        <w:tc>
          <w:tcPr>
            <w:tcW w:type="dxa" w:w="2045"/>
            <w:vAlign w:val="top"/>
          </w:tcPr>
          <w:p>
            <w:r>
              <w:rPr>
                <w:sz w:val="14"/>
              </w:rPr>
              <w:t>hao_empirical_2024; grewal_analyzing_2024; tufano_developers_2026</w:t>
            </w:r>
          </w:p>
        </w:tc>
        <w:tc>
          <w:tcPr>
            <w:tcW w:type="dxa" w:w="2045"/>
            <w:vAlign w:val="top"/>
          </w:tcPr>
          <w:p>
            <w:r>
              <w:rPr>
                <w:sz w:val="14"/>
              </w:rPr>
              <w:t>high</w:t>
            </w:r>
          </w:p>
        </w:tc>
        <w:tc>
          <w:tcPr>
            <w:tcW w:type="dxa" w:w="2045"/>
            <w:vAlign w:val="top"/>
          </w:tcPr>
          <w:p>
            <w:r>
              <w:rPr>
                <w:sz w:val="14"/>
              </w:rPr>
              <w:t>Current evidence is stronger for open-source and visible artefacts than for private industrial repositories.</w:t>
            </w:r>
          </w:p>
        </w:tc>
      </w:tr>
      <w:tr>
        <w:tc>
          <w:tcPr>
            <w:tcW w:type="dxa" w:w="2045"/>
            <w:vAlign w:val="top"/>
          </w:tcPr>
          <w:p>
            <w:r>
              <w:rPr>
                <w:sz w:val="14"/>
              </w:rPr>
              <w:t>P2.1-3</w:t>
            </w:r>
          </w:p>
        </w:tc>
        <w:tc>
          <w:tcPr>
            <w:tcW w:type="dxa" w:w="2045"/>
            <w:vAlign w:val="top"/>
          </w:tcPr>
          <w:p>
            <w:r>
              <w:rPr>
                <w:sz w:val="14"/>
              </w:rPr>
              <w:t>Agentic workflows improve perceived task coverage but increase the probability that an upstream context or prompt error cascades across multiple automated stages.</w:t>
            </w:r>
          </w:p>
        </w:tc>
        <w:tc>
          <w:tcPr>
            <w:tcW w:type="dxa" w:w="2045"/>
            <w:vAlign w:val="top"/>
          </w:tcPr>
          <w:p>
            <w:r>
              <w:rPr>
                <w:sz w:val="14"/>
              </w:rPr>
              <w:t>xia_agentless_2024; zhang_autocoderover_2024; yin_comprehensive_2025; liu_e2edev_2026</w:t>
            </w:r>
          </w:p>
        </w:tc>
        <w:tc>
          <w:tcPr>
            <w:tcW w:type="dxa" w:w="2045"/>
            <w:vAlign w:val="top"/>
          </w:tcPr>
          <w:p>
            <w:r>
              <w:rPr>
                <w:sz w:val="14"/>
              </w:rPr>
              <w:t>high</w:t>
            </w:r>
          </w:p>
        </w:tc>
        <w:tc>
          <w:tcPr>
            <w:tcW w:type="dxa" w:w="2045"/>
            <w:vAlign w:val="top"/>
          </w:tcPr>
          <w:p>
            <w:r>
              <w:rPr>
                <w:sz w:val="14"/>
              </w:rPr>
              <w:t>The proposition requires direct tracing of failure propagation in real agent use.</w:t>
            </w:r>
          </w:p>
        </w:tc>
      </w:tr>
      <w:tr>
        <w:tc>
          <w:tcPr>
            <w:tcW w:type="dxa" w:w="2045"/>
            <w:vAlign w:val="top"/>
          </w:tcPr>
          <w:p>
            <w:r>
              <w:rPr>
                <w:sz w:val="14"/>
              </w:rPr>
              <w:t>P2.1-4</w:t>
            </w:r>
          </w:p>
        </w:tc>
        <w:tc>
          <w:tcPr>
            <w:tcW w:type="dxa" w:w="2045"/>
            <w:vAlign w:val="top"/>
          </w:tcPr>
          <w:p>
            <w:r>
              <w:rPr>
                <w:sz w:val="14"/>
              </w:rPr>
              <w:t>Workflow acceleration occurs only when the cost of reading, editing, rejecting, and validating AI output is lower than manual implementation.</w:t>
            </w:r>
          </w:p>
        </w:tc>
        <w:tc>
          <w:tcPr>
            <w:tcW w:type="dxa" w:w="2045"/>
            <w:vAlign w:val="top"/>
          </w:tcPr>
          <w:p>
            <w:r>
              <w:rPr>
                <w:sz w:val="14"/>
              </w:rPr>
              <w:t>mozannar_reading_2024; barke_grounded_2023; pu_assistance_2025</w:t>
            </w:r>
          </w:p>
        </w:tc>
        <w:tc>
          <w:tcPr>
            <w:tcW w:type="dxa" w:w="2045"/>
            <w:vAlign w:val="top"/>
          </w:tcPr>
          <w:p>
            <w:r>
              <w:rPr>
                <w:sz w:val="14"/>
              </w:rPr>
              <w:t>moderate</w:t>
            </w:r>
          </w:p>
        </w:tc>
        <w:tc>
          <w:tcPr>
            <w:tcW w:type="dxa" w:w="2045"/>
            <w:vAlign w:val="top"/>
          </w:tcPr>
          <w:p>
            <w:r>
              <w:rPr>
                <w:sz w:val="14"/>
              </w:rPr>
              <w:t>Evidence combines cost modelling and qualitative workflow studies rather than a single unified metric.</w:t>
            </w:r>
          </w:p>
        </w:tc>
      </w:tr>
      <w:tr>
        <w:tc>
          <w:tcPr>
            <w:tcW w:type="dxa" w:w="2045"/>
            <w:vAlign w:val="top"/>
          </w:tcPr>
          <w:p>
            <w:r>
              <w:rPr>
                <w:sz w:val="14"/>
              </w:rPr>
              <w:t>P2.1-5</w:t>
            </w:r>
          </w:p>
        </w:tc>
        <w:tc>
          <w:tcPr>
            <w:tcW w:type="dxa" w:w="2045"/>
            <w:vAlign w:val="top"/>
          </w:tcPr>
          <w:p>
            <w:r>
              <w:rPr>
                <w:sz w:val="14"/>
              </w:rPr>
              <w:t>Evaluation frameworks that use isolated prompt-response correctness overestimate HAI reliability relative to multi-turn, repository-context, or end-to-end assessments.</w:t>
            </w:r>
          </w:p>
        </w:tc>
        <w:tc>
          <w:tcPr>
            <w:tcW w:type="dxa" w:w="2045"/>
            <w:vAlign w:val="top"/>
          </w:tcPr>
          <w:p>
            <w:r>
              <w:rPr>
                <w:sz w:val="14"/>
              </w:rPr>
              <w:t>kim_codeassistbench_2025; agarwal_copilot_2024; liu_e2edev_2026; kong_demystifying_2025</w:t>
            </w:r>
          </w:p>
        </w:tc>
        <w:tc>
          <w:tcPr>
            <w:tcW w:type="dxa" w:w="2045"/>
            <w:vAlign w:val="top"/>
          </w:tcPr>
          <w:p>
            <w:r>
              <w:rPr>
                <w:sz w:val="14"/>
              </w:rPr>
              <w:t>moderate</w:t>
            </w:r>
          </w:p>
        </w:tc>
        <w:tc>
          <w:tcPr>
            <w:tcW w:type="dxa" w:w="2045"/>
            <w:vAlign w:val="top"/>
          </w:tcPr>
          <w:p>
            <w:r>
              <w:rPr>
                <w:sz w:val="14"/>
              </w:rPr>
              <w:t>Includes one benchmark paper from Phase 1.1 not otherwise used in the narrative, so corpus coverage is thinner.</w:t>
            </w:r>
          </w:p>
        </w:tc>
      </w:tr>
      <w:tr>
        <w:tc>
          <w:tcPr>
            <w:tcW w:type="dxa" w:w="2045"/>
            <w:vAlign w:val="top"/>
          </w:tcPr>
          <w:p>
            <w:r>
              <w:rPr>
                <w:sz w:val="14"/>
              </w:rPr>
              <w:t>P2.1-6</w:t>
            </w:r>
          </w:p>
        </w:tc>
        <w:tc>
          <w:tcPr>
            <w:tcW w:type="dxa" w:w="2045"/>
            <w:vAlign w:val="top"/>
          </w:tcPr>
          <w:p>
            <w:r>
              <w:rPr>
                <w:sz w:val="14"/>
              </w:rPr>
              <w:t>Human preference for AI-led interaction will not imply trustworthy autonomy unless issue detection, actionability, and review integration are independently demonstrated.</w:t>
            </w:r>
          </w:p>
        </w:tc>
        <w:tc>
          <w:tcPr>
            <w:tcW w:type="dxa" w:w="2045"/>
            <w:vAlign w:val="top"/>
          </w:tcPr>
          <w:p>
            <w:r>
              <w:rPr>
                <w:sz w:val="14"/>
              </w:rPr>
              <w:t>aalsteinsson_rethinking_2025; stray_human-ai_2025</w:t>
            </w:r>
          </w:p>
        </w:tc>
        <w:tc>
          <w:tcPr>
            <w:tcW w:type="dxa" w:w="2045"/>
            <w:vAlign w:val="top"/>
          </w:tcPr>
          <w:p>
            <w:r>
              <w:rPr>
                <w:sz w:val="14"/>
              </w:rPr>
              <w:t>moderate</w:t>
            </w:r>
          </w:p>
        </w:tc>
        <w:tc>
          <w:tcPr>
            <w:tcW w:type="dxa" w:w="2045"/>
            <w:vAlign w:val="top"/>
          </w:tcPr>
          <w:p>
            <w:r>
              <w:rPr>
                <w:sz w:val="14"/>
              </w:rPr>
              <w:t>Supported by two papers; more direct comparative review studies are needed.</w:t>
            </w:r>
          </w:p>
        </w:tc>
      </w:tr>
    </w:tbl>
    <w:p>
      <w:pPr>
        <w:pStyle w:val="Heading1"/>
      </w:pPr>
      <w:r>
        <w:t>4. References</w:t>
      </w:r>
    </w:p>
    <w:p>
      <w:r>
        <w:t>[1] Understanding and Supporting How Developers Prompt for LLM-powered Code Editing in Practice. Nam, Daye; Omran, Ahmed; Murillo, Ambar; Thakur, Saksham; Araujo, Abner; Blistein, Marcel; Frömmgen, Alexander; Hellendoorn, Vincent; Chandra, Satish, 2025. Bibkey: nam_understanding_2025.</w:t>
      </w:r>
    </w:p>
    <w:p>
      <w:r>
        <w:t>[2] Grounded Copilot: How Programmers Interact with Code-Generating Models. Barke, Shraddha; James, Michael B.; Polikarpova, Nadia, 2023. Bibkey: barke_grounded_2023.</w:t>
      </w:r>
    </w:p>
    <w:p>
      <w:r>
        <w:t>[3] Beyond Code Generation: An Observational Study of ChatGPT Usage in Software Engineering Practice. Khojah, Ranim; Mohamad, Mazen; Leitner, Philipp; Neto, Francisco Gomes de Oliveira, 2024. Bibkey: khojah_beyond_2024.</w:t>
      </w:r>
    </w:p>
    <w:p>
      <w:r>
        <w:t>[4] LLM-based test-driven interactive code generation: User study and empirical evaluation. Fakhoury, Sarah; Naik, Aaditya; Sakkas, Georgios; Chakraborty, Saikat; Lahiri, Shuvendu K., 2024. Bibkey: fakhoury_llm-based_2024.</w:t>
      </w:r>
    </w:p>
    <w:p>
      <w:r>
        <w:t>[5] An Empirical Study on Developers’ Shared Conversations with ChatGPT in GitHub Pull Requests and Issues. Hao, Huizi; Hasan, Kazi Amit; Qin, Hong; Macedo, Marcos; Tian, Yuan; Ding, Steven H. H.; Hassan, Ahmed E., 2024. Bibkey: hao_empirical_2024.</w:t>
      </w:r>
    </w:p>
    <w:p>
      <w:r>
        <w:t>[6] When Prompts Go Wrong: Evaluating Code Model Robustness to Ambiguous, Contradictory, and Incomplete Task Descriptions. Larbi, Maya; Akli, Amal; Papadakis, Mike; Bouyousfi, Rihab; Cordy, Maxime; Sarro, Federica; Traon, Yves Le, 2025. Bibkey: larbi_when_2025.</w:t>
      </w:r>
    </w:p>
    <w:p>
      <w:r>
        <w:t>[7] NLPerturbator: Studying the Robustness of Code LLMs to Natural Language Variations. Chen, Junkai; Li, Zhenhao; Hu, Xing; Xia, Xin, 2026. Bibkey: chen_nlperturbator_2026.</w:t>
      </w:r>
    </w:p>
    <w:p>
      <w:r>
        <w:t>[8] Refining Critical Thinking in LLM Code Generation: A Faulty Premise-based Evaluation Framework. Li, Jialin; Li, Jinzhe; Li, Gengxu; Chang, Yi; Wu, Yuan, 2025. Bibkey: li_refining_2025.</w:t>
      </w:r>
    </w:p>
    <w:p>
      <w:r>
        <w:t>[9] Reading Between the Lines: Modeling User Behavior and Costs in AI-Assisted Programming. Mozannar, Hussein; Bansal, Gagan; Fourney, Adam; Horvitz, Eric, 2024. Bibkey: mozannar_reading_2024.</w:t>
      </w:r>
    </w:p>
    <w:p>
      <w:r>
        <w:t>[10] Human-AI Collaboration in Software Development: A Mixed-Methods Study of Developers’ Use of GitHub Copilot and ChatGPT. Stray, Viktoria; Barbala, Astri; Wivestad, Viggo Tellefsen, 2025. Bibkey: stray_human-ai_2025.</w:t>
      </w:r>
    </w:p>
    <w:p>
      <w:r>
        <w:t>[11] Analyzing Developer Use of ChatGPT Generated Code in Open Source GitHub Projects. Grewal, Balreet; Lu, Wentao; Nadi, Sarah; Bezemer, Cor-Paul, 2024. Bibkey: grewal_analyzing_2024.</w:t>
      </w:r>
    </w:p>
    <w:p>
      <w:r>
        <w:t>[12] Developers and Generative AI: A Study of Self-Admitted Usage in Open Source Projects. Tufano, Rosalia; Pepe, Federica; Zampetti, Fiorella; Mastropaolo, Antonio; Dabić, Ozren; Di Penta, Massimiliano; Bavota, Gabriele, 2026. Bibkey: tufano_developers_2026.</w:t>
      </w:r>
    </w:p>
    <w:p>
      <w:r>
        <w:t>[13] Agentless: Demystifying LLM-based Software Engineering Agents. Xia, Chunqiu Steven; Deng, Yinlin; Dunn, Stanley; Zhang, Lingming, 2024. Bibkey: xia_agentless_2024.</w:t>
      </w:r>
    </w:p>
    <w:p>
      <w:r>
        <w:t>[14] AutoCodeRover: Autonomous Program Improvement. Zhang, Yuntong; Ruan, Haifeng; Fan, Zhiyu; Roychoudhury, Abhik, 2024. Bibkey: zhang_autocoderover_2024.</w:t>
      </w:r>
    </w:p>
    <w:p>
      <w:r>
        <w:t>[15] A Comprehensive Empirical Evaluation of Agent Frameworks on Code-centric Software Engineering Tasks. Yin, Zhuowen; Gao, Cuifeng; Fan, Chunsong; Yang, Wenzhang; Xue, Yinxing; Zhang, Lijun, 2025. Bibkey: yin_comprehensive_2025.</w:t>
      </w:r>
    </w:p>
    <w:p>
      <w:r>
        <w:t>[16] E2Edev: Benchmarking Large Language Models in End-to-End Software Development Task. Liu, Jingyao; Huang, Chen; Guan, Zhizhao; Lei, Wenqiang; Deng, Yang, 2026. Bibkey: liu_e2edev_2026.</w:t>
      </w:r>
    </w:p>
    <w:p>
      <w:r>
        <w:t>[17] Assistance or Disruption? Exploring and Evaluating the Design and Trade-offs of Proactive AI Programming Support. Pu, Kevin; Lazaro, Daniel; Arawjo, Ian; Xia, Haijun; Grossman, Tovi; Chen, Yan, 2025. Bibkey: pu_assistance_2025.</w:t>
      </w:r>
    </w:p>
    <w:p>
      <w:r>
        <w:t>[18] Is Self-Repair A Silver Bullet for Code Generation?. Olausson, Theo X; Inala, Jeevana Priya; Wang, Chenglong; Gao, Jianfeng; Solar-Lezama, Armando, 2024. Bibkey: olausson_is_2024.</w:t>
      </w:r>
    </w:p>
    <w:p>
      <w:r>
        <w:t>[19] Demystifying Memorization in LLM-Based Program Repair via a General Hypothesis Testing Framework. Kong, Jiaolong; Xie, Xiaofei; Liu, Shangqing, 2025. Bibkey: kong_demystifying_2025.</w:t>
      </w:r>
    </w:p>
    <w:p>
      <w:r>
        <w:t>[20] Rethinking Code Review Workflows with LLM Assistance: An Empirical Study. Aðalsteinsson, Fannar Steinn; Magnussoú, Björn Borgar; Milicevic, Mislav; Davidsson, Adam Nirving; Cheng, Chih-Hong, 2025. Bibkey: aalsteinsson_rethinking_2025.</w:t>
      </w:r>
    </w:p>
    <w:p>
      <w:r>
        <w:t>[21] Copilot Evaluation Harness: Evaluating LLM-Guided Software Programming. Agarwal, Anisha; Chan, Aaron; Chandel, Shubham; Jang, Jinu; Miller, Shaun; Moghaddam, Roshanak Zilouchian; Mohylevskyy, Yevhen; Sundaresan, Neel; Tufano, Michele, 2024. Bibkey: agarwal_copilot_2024.</w:t>
      </w:r>
    </w:p>
    <w:p>
      <w:r>
        <w:t>[22] CodeAssistBench (CAB): Dataset &amp; Benchmarking for Multi-turn Chat-Based Code Assistance. Kim, Myeongsoo; Garg, Shweta; Ray, Baishakhi; Kumar, Varun; Deoras, Anoop, 2025. Bibkey: kim_codeassistbench_2025.</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