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C6AB" w14:textId="77777777" w:rsidR="00052FAB" w:rsidRDefault="00000000">
      <w:pPr>
        <w:pStyle w:val="Title"/>
      </w:pPr>
      <w:r>
        <w:t>Phase 4.4 — HAI Manuscript-Ready Blocks</w:t>
      </w:r>
    </w:p>
    <w:p w14:paraId="58FF46EA" w14:textId="77777777" w:rsidR="00052FAB" w:rsidRDefault="00000000">
      <w:r>
        <w:t>AI-Assisted Programming in Software Engineering: A Systematic Literature Review and Socio-Technical Perspective</w:t>
      </w:r>
    </w:p>
    <w:p w14:paraId="54507312" w14:textId="77777777" w:rsidR="00052FAB" w:rsidRDefault="00000000">
      <w:pPr>
        <w:pStyle w:val="Heading1"/>
      </w:pPr>
      <w:r>
        <w:t>1. Abstract contribution sentence</w:t>
      </w:r>
    </w:p>
    <w:p w14:paraId="2D5B613E" w14:textId="77777777" w:rsidR="00052FAB" w:rsidRDefault="00000000">
      <w:r>
        <w:t>The Human-AI Interaction evidence shows that AI-assisted programming becomes valuable not through generation alone, but through calibrated interaction: developers must specify intent, contextualise tasks, inspect and repair outputs, and regulate reliance, making interaction quality and trust calibration central mechanisms in the socio-technical equilibrium of AI-assisted software engineering.</w:t>
      </w:r>
    </w:p>
    <w:p w14:paraId="25AE49FD" w14:textId="77777777" w:rsidR="00052FAB" w:rsidRDefault="00000000">
      <w:pPr>
        <w:pStyle w:val="Heading1"/>
      </w:pPr>
      <w:r>
        <w:t>2. Results section introduction paragraph</w:t>
      </w:r>
    </w:p>
    <w:p w14:paraId="2A5926CF" w14:textId="77777777" w:rsidR="00052FAB" w:rsidRDefault="00000000">
      <w:r>
        <w:t>The Human-AI Interaction dimension comprises 105 studies, including 60 CORE papers and 45 SUPPORT papers, organised around seven sub-topics: prompting dynamics and conversational strategies; workflow integration and collaboration patterns; trust, verification, and reliance behaviour; developer experience, usability, and perceived value; learning, novices, and educational contexts; robustness, prompt sensitivity, and agentic reliability; and identity, accessibility, and socio-professional continuity. Across these sub-topics, AI-assisted programming appears as a calibrated interactional practice rather than a simple transfer of coding labour from developer to model. Generated artefacts become useful when developers can specify intent, provide context, inspect outputs, negotiate repairs, and decide whether to accept, revise, test, or reject suggestions [1][2][3].</w:t>
      </w:r>
    </w:p>
    <w:p w14:paraId="39329A02" w14:textId="77777777" w:rsidR="00052FAB" w:rsidRDefault="00000000">
      <w:pPr>
        <w:pStyle w:val="Heading1"/>
      </w:pPr>
      <w:r>
        <w:t>3. Discussion contribution paragraph</w:t>
      </w:r>
    </w:p>
    <w:p w14:paraId="654B0B27" w14:textId="77777777" w:rsidR="00052FAB" w:rsidRDefault="00000000">
      <w:r>
        <w:t xml:space="preserve">The HAI findings specify how the socio-technical equilibrium operates at the interactional level. Generation efficiency accelerates access to candidate code, explanations, repairs, and project artefacts, but this acceleration becomes engineering value only when interaction quality enables developers to express intent, provide context, handle faulty premises, and maintain control over iterative repair [1][4][5]. The verification overhead established by the Code Quality and Technical Debt dimension is therefore mediated by HAI mechanisms: generated outputs must be read, inspected, corrected, tested, secured, and integrated before they can be treated as dependable work products [2][6]. Trust calibration is the second primary HAI construct, because developers regulate reliance through perceived quality, contextual fit, controllability, effort awareness, and verifiability rather than through trust as a general attitude [3][7]. Cognitive redistribution follows from </w:t>
      </w:r>
      <w:r>
        <w:lastRenderedPageBreak/>
        <w:t>this mediation: effort moves from direct code construction towards supervision, orchestration, explanation, validation, and decision-making. HAI thus explains why faster generation can either reduce friction or create hidden validation burden, depending on the quality of interaction and the calibration of reliance.</w:t>
      </w:r>
    </w:p>
    <w:p w14:paraId="0AF7BB80" w14:textId="77777777" w:rsidR="00052FAB" w:rsidRDefault="00000000">
      <w:pPr>
        <w:pStyle w:val="Heading1"/>
      </w:pPr>
      <w:r>
        <w:t>4. Limitations paragraph contribution</w:t>
      </w:r>
    </w:p>
    <w:p w14:paraId="5CE0D94B" w14:textId="77777777" w:rsidR="00052FAB" w:rsidRDefault="00000000">
      <w:r>
        <w:t>The HAI evidence base is strongest for prompting, workflow redistribution, trust calibration, verification behaviour, and robustness, but less evenly supported for identity, accessibility, organisational routines, and economic consequences. Several findings rely on perception, usability, classroom, benchmark, or repository-trace contexts that should not be treated as equivalent outcome evidence. The main cross-dimensional gap is the absence of longitudinal, repository-level, and cost-sensitive evidence linking calibrated interaction to downstream organisational routines and economic outcomes; these links remain speculative — pending companion notebook evidence.</w:t>
      </w:r>
    </w:p>
    <w:p w14:paraId="38FCEA23" w14:textId="77777777" w:rsidR="00052FAB" w:rsidRDefault="00000000">
      <w:pPr>
        <w:pStyle w:val="Heading1"/>
      </w:pPr>
      <w:r>
        <w:t>5. References</w:t>
      </w:r>
    </w:p>
    <w:p w14:paraId="59AF1D06" w14:textId="77777777" w:rsidR="00052FAB" w:rsidRDefault="00000000">
      <w:r>
        <w:t>[1] Understanding and Supporting How Developers Prompt for LLM-powered Code Editing in Practice. Nam, Daye; Omran, Ahmed; Murillo, Ambar; Thakur, Saksham; Araujo, Abner; Blistein, Marcel; Frömmgen, Alexander; Hellendoorn, Vincent; Chandra, Satish, 2025. Bibkey: nam_understanding_2025. Corpus: CORE. Quality tier: A1.</w:t>
      </w:r>
    </w:p>
    <w:p w14:paraId="2DF966FE" w14:textId="64B940B9" w:rsidR="00052FAB" w:rsidRDefault="00000000">
      <w:r>
        <w:t>[2] Reading Between the Lines: Modeling User Behavior and Costs in AI-Assisted Programming. Mozannar, Hussein; Bansal, Gagan; Fourney, Adam; Horvitz, Eric, 2024. Bibkey: mozannar_reading_2024. Corpus: CORE. Quality tier: A1.</w:t>
      </w:r>
    </w:p>
    <w:p w14:paraId="53F0E2C2" w14:textId="77777777" w:rsidR="00052FAB" w:rsidRDefault="00000000">
      <w:r>
        <w:t xml:space="preserve">[3] Identifying the Factors That Influence Trust in AI Code Completion. </w:t>
      </w:r>
      <w:r w:rsidRPr="009C2A18">
        <w:rPr>
          <w:lang w:val="es-ES"/>
        </w:rPr>
        <w:t xml:space="preserve">Brown, Adam; D’Angelo, Sarah; Murillo, Ambar; Jaspan, Ciera; Green, Collin, 2024. </w:t>
      </w:r>
      <w:r>
        <w:t>Bibkey: brown_identifying_2024. Corpus: CORE. Quality tier: A2.</w:t>
      </w:r>
    </w:p>
    <w:p w14:paraId="5B380710" w14:textId="77777777" w:rsidR="00052FAB" w:rsidRDefault="00000000">
      <w:r>
        <w:t>[4] When Prompts Go Wrong: Evaluating Code Model Robustness to Ambiguous, Contradictory, and Incomplete Task Descriptions. Larbi, Maya; Akli, Amal; Papadakis, Mike; Bouyousfi, Rihab; Cordy, Maxime; Sarro, Federica; Traon, Yves Le, 2025. Bibkey: larbi_when_2025. Corpus: CORE. Quality tier: A1.</w:t>
      </w:r>
    </w:p>
    <w:p w14:paraId="0F73E1CF" w14:textId="77777777" w:rsidR="00052FAB" w:rsidRDefault="00000000">
      <w:r>
        <w:t>[5] Refining Critical Thinking in LLM Code Generation: A Faulty Premise-based Evaluation Framework. Li, Jialin; Li, Jinzhe; Li, Gengxu; Chang, Yi; Wu, Yuan, 2025. Bibkey: li_refining_2025. Corpus: CORE. Quality tier: A1.</w:t>
      </w:r>
    </w:p>
    <w:p w14:paraId="6BAA7260" w14:textId="77777777" w:rsidR="00052FAB" w:rsidRDefault="00000000">
      <w:r>
        <w:t>[6] Do Users Write More Insecure Code with AI Assistants? Perry, Neil; Srivastava, Megha; Kumar, Deepak; Boneh, Dan, 2023. Bibkey: perry_users_2023. Corpus: CORE. Quality tier: A1.</w:t>
      </w:r>
    </w:p>
    <w:p w14:paraId="04F2C537" w14:textId="77777777" w:rsidR="00052FAB" w:rsidRDefault="00000000">
      <w:r>
        <w:lastRenderedPageBreak/>
        <w:t>[7] Investigating and Designing for Trust in AI-powered Code Generation Tools. Wang, Ruotong; Cheng, Ruijia; Ford, Denae; Zimmermann, Thomas, 2024. Bibkey: wang_investigating_2024. Corpus: CORE. Quality tier: A1.</w:t>
      </w:r>
    </w:p>
    <w:p w14:paraId="708477AA" w14:textId="77777777" w:rsidR="00052FAB" w:rsidRDefault="00000000">
      <w:pPr>
        <w:pStyle w:val="Heading1"/>
      </w:pPr>
      <w:r>
        <w:t>6. Self-validation pass</w:t>
      </w:r>
    </w:p>
    <w:p w14:paraId="24EFA6CD" w14:textId="77777777" w:rsidR="00052FAB" w:rsidRDefault="00000000">
      <w:r>
        <w:t>Cited bibkeys were checked against the uploaded HAI BIB files and are drawn from the Phase 3.4 and Phase 4 evidence base. No REMOVE_CANDIDATE paper is cited. No Zotero item key is used as a bibkey. References include author and year fields and avoid empty bibliographical placeholders. Quality tiers use only A1, A2 or B as previously resolved in the HAI artefacts. British English is used throughout, except where official titles contain American spelling.</w:t>
      </w:r>
    </w:p>
    <w:sectPr w:rsidR="00052F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059950">
    <w:abstractNumId w:val="8"/>
  </w:num>
  <w:num w:numId="2" w16cid:durableId="242374338">
    <w:abstractNumId w:val="6"/>
  </w:num>
  <w:num w:numId="3" w16cid:durableId="357656453">
    <w:abstractNumId w:val="5"/>
  </w:num>
  <w:num w:numId="4" w16cid:durableId="1296793564">
    <w:abstractNumId w:val="4"/>
  </w:num>
  <w:num w:numId="5" w16cid:durableId="104271160">
    <w:abstractNumId w:val="7"/>
  </w:num>
  <w:num w:numId="6" w16cid:durableId="700253358">
    <w:abstractNumId w:val="3"/>
  </w:num>
  <w:num w:numId="7" w16cid:durableId="957298768">
    <w:abstractNumId w:val="2"/>
  </w:num>
  <w:num w:numId="8" w16cid:durableId="1796407328">
    <w:abstractNumId w:val="1"/>
  </w:num>
  <w:num w:numId="9" w16cid:durableId="18278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AB"/>
    <w:rsid w:val="0006063C"/>
    <w:rsid w:val="0015074B"/>
    <w:rsid w:val="0029639D"/>
    <w:rsid w:val="00326F90"/>
    <w:rsid w:val="006015D6"/>
    <w:rsid w:val="009C2A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FA534"/>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4965</Characters>
  <Application>Microsoft Office Word</Application>
  <DocSecurity>0</DocSecurity>
  <Lines>77</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2026-06-13T17:19:00Z</dcterms:modified>
  <cp:category/>
</cp:coreProperties>
</file>