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1.5 — NB4 HAI SUPPORT: Learning, Novices, and Educational Contexts</w:t>
      </w:r>
    </w:p>
    <w:p>
      <w:r>
        <w:t xml:space="preserve">Scope and validation. </w:t>
      </w:r>
      <w:r>
        <w:t>This artefact uses SUPPORTING NB4_HAI_SUPPORT papers only. Bibkeys were verified literally in NB4_HAI_Support.bib; tiers were taken from column S (Clasificación) in Relación de Estudios.xlsx; bibliographic metadata were taken from NB4_HAI_Support.csv through the Zotero-key mapping. The scoped bibkey candidates mellado_rafael_can_2025, jost_impact_2024, and finnie-ansley_my_2023 were not present literally in the NB4 BibTeX file and are therefore not cited.</w:t>
      </w:r>
    </w:p>
    <w:p>
      <w:pPr>
        <w:pStyle w:val="Heading1"/>
      </w:pPr>
      <w:r>
        <w:t>1. Evidence matrix</w:t>
      </w:r>
    </w:p>
    <w:tbl>
      <w:tblPr>
        <w:tblStyle w:val="TableGrid"/>
        <w:tblW w:type="auto" w:w="0"/>
        <w:jc w:val="center"/>
        <w:tblLook w:firstColumn="1" w:firstRow="1" w:lastColumn="0" w:lastRow="0" w:noHBand="0" w:noVBand="1" w:val="04A0"/>
      </w:tblPr>
      <w:tblGrid>
        <w:gridCol w:w="1184"/>
        <w:gridCol w:w="1184"/>
        <w:gridCol w:w="1184"/>
        <w:gridCol w:w="1184"/>
        <w:gridCol w:w="1184"/>
        <w:gridCol w:w="1184"/>
        <w:gridCol w:w="1184"/>
        <w:gridCol w:w="1184"/>
        <w:gridCol w:w="1184"/>
      </w:tblGrid>
      <w:tr>
        <w:tc>
          <w:tcPr>
            <w:tcW w:type="dxa" w:w="1184"/>
            <w:vAlign w:val="top"/>
          </w:tcPr>
          <w:p>
            <w:r>
              <w:rPr>
                <w:sz w:val="14"/>
              </w:rPr>
              <w:t>Bibkey</w:t>
            </w:r>
          </w:p>
        </w:tc>
        <w:tc>
          <w:tcPr>
            <w:tcW w:type="dxa" w:w="1184"/>
            <w:vAlign w:val="top"/>
          </w:tcPr>
          <w:p>
            <w:r>
              <w:rPr>
                <w:sz w:val="14"/>
              </w:rPr>
              <w:t>Year</w:t>
            </w:r>
          </w:p>
        </w:tc>
        <w:tc>
          <w:tcPr>
            <w:tcW w:type="dxa" w:w="1184"/>
            <w:vAlign w:val="top"/>
          </w:tcPr>
          <w:p>
            <w:r>
              <w:rPr>
                <w:sz w:val="14"/>
              </w:rPr>
              <w:t>Quality tier</w:t>
            </w:r>
          </w:p>
        </w:tc>
        <w:tc>
          <w:tcPr>
            <w:tcW w:type="dxa" w:w="1184"/>
            <w:vAlign w:val="top"/>
          </w:tcPr>
          <w:p>
            <w:r>
              <w:rPr>
                <w:sz w:val="14"/>
              </w:rPr>
              <w:t>Segment</w:t>
            </w:r>
          </w:p>
        </w:tc>
        <w:tc>
          <w:tcPr>
            <w:tcW w:type="dxa" w:w="1184"/>
            <w:vAlign w:val="top"/>
          </w:tcPr>
          <w:p>
            <w:r>
              <w:rPr>
                <w:sz w:val="14"/>
              </w:rPr>
              <w:t>Key finding</w:t>
            </w:r>
          </w:p>
        </w:tc>
        <w:tc>
          <w:tcPr>
            <w:tcW w:type="dxa" w:w="1184"/>
            <w:vAlign w:val="top"/>
          </w:tcPr>
          <w:p>
            <w:r>
              <w:rPr>
                <w:sz w:val="14"/>
              </w:rPr>
              <w:t>Metric/value</w:t>
            </w:r>
          </w:p>
        </w:tc>
        <w:tc>
          <w:tcPr>
            <w:tcW w:type="dxa" w:w="1184"/>
            <w:vAlign w:val="top"/>
          </w:tcPr>
          <w:p>
            <w:r>
              <w:rPr>
                <w:sz w:val="14"/>
              </w:rPr>
              <w:t>Directionality</w:t>
            </w:r>
          </w:p>
        </w:tc>
        <w:tc>
          <w:tcPr>
            <w:tcW w:type="dxa" w:w="1184"/>
            <w:vAlign w:val="top"/>
          </w:tcPr>
          <w:p>
            <w:r>
              <w:rPr>
                <w:sz w:val="14"/>
              </w:rPr>
              <w:t>PDF section + page</w:t>
            </w:r>
          </w:p>
        </w:tc>
        <w:tc>
          <w:tcPr>
            <w:tcW w:type="dxa" w:w="1184"/>
            <w:vAlign w:val="top"/>
          </w:tcPr>
          <w:p>
            <w:r>
              <w:rPr>
                <w:sz w:val="14"/>
              </w:rPr>
              <w:t>Learning dimension</w:t>
            </w:r>
          </w:p>
        </w:tc>
      </w:tr>
      <w:tr>
        <w:tc>
          <w:tcPr>
            <w:tcW w:type="dxa" w:w="1184"/>
            <w:vAlign w:val="top"/>
          </w:tcPr>
          <w:p>
            <w:r>
              <w:rPr>
                <w:sz w:val="14"/>
              </w:rPr>
              <w:t>hellas_exploring_2023</w:t>
            </w:r>
          </w:p>
        </w:tc>
        <w:tc>
          <w:tcPr>
            <w:tcW w:type="dxa" w:w="1184"/>
            <w:vAlign w:val="top"/>
          </w:tcPr>
          <w:p>
            <w:r>
              <w:rPr>
                <w:sz w:val="14"/>
              </w:rPr>
              <w:t>2023</w:t>
            </w:r>
          </w:p>
        </w:tc>
        <w:tc>
          <w:tcPr>
            <w:tcW w:type="dxa" w:w="1184"/>
            <w:vAlign w:val="top"/>
          </w:tcPr>
          <w:p>
            <w:r>
              <w:rPr>
                <w:sz w:val="14"/>
              </w:rPr>
              <w:t>A1</w:t>
            </w:r>
          </w:p>
        </w:tc>
        <w:tc>
          <w:tcPr>
            <w:tcW w:type="dxa" w:w="1184"/>
            <w:vAlign w:val="top"/>
          </w:tcPr>
          <w:p>
            <w:r>
              <w:rPr>
                <w:sz w:val="14"/>
              </w:rPr>
              <w:t>SUPPORTING</w:t>
            </w:r>
          </w:p>
        </w:tc>
        <w:tc>
          <w:tcPr>
            <w:tcW w:type="dxa" w:w="1184"/>
            <w:vAlign w:val="top"/>
          </w:tcPr>
          <w:p>
            <w:r>
              <w:rPr>
                <w:sz w:val="14"/>
              </w:rPr>
              <w:t>LLM responses to 150 beginner help requests addressed some novice problems but were incomplete: GPT-3.5 outperformed Codex, yet responses still contained false positives and did not reliably identify all issues in student code.</w:t>
            </w:r>
          </w:p>
        </w:tc>
        <w:tc>
          <w:tcPr>
            <w:tcW w:type="dxa" w:w="1184"/>
            <w:vAlign w:val="top"/>
          </w:tcPr>
          <w:p>
            <w:r>
              <w:rPr>
                <w:sz w:val="14"/>
              </w:rPr>
              <w:t>150 help requests; 275 issues; logic errors 72%; input/output issues 34%; syntax errors 8%; false positives present across pairings.</w:t>
            </w:r>
          </w:p>
        </w:tc>
        <w:tc>
          <w:tcPr>
            <w:tcW w:type="dxa" w:w="1184"/>
            <w:vAlign w:val="top"/>
          </w:tcPr>
          <w:p>
            <w:r>
              <w:rPr>
                <w:sz w:val="14"/>
              </w:rPr>
              <w:t>Mixed / limited positive</w:t>
            </w:r>
          </w:p>
        </w:tc>
        <w:tc>
          <w:tcPr>
            <w:tcW w:type="dxa" w:w="1184"/>
            <w:vAlign w:val="top"/>
          </w:tcPr>
          <w:p>
            <w:r>
              <w:rPr>
                <w:sz w:val="14"/>
              </w:rPr>
              <w:t>Results, pp. 6-8</w:t>
            </w:r>
          </w:p>
        </w:tc>
        <w:tc>
          <w:tcPr>
            <w:tcW w:type="dxa" w:w="1184"/>
            <w:vAlign w:val="top"/>
          </w:tcPr>
          <w:p>
            <w:r>
              <w:rPr>
                <w:sz w:val="14"/>
              </w:rPr>
              <w:t>comprehension</w:t>
            </w:r>
          </w:p>
        </w:tc>
      </w:tr>
      <w:tr>
        <w:tc>
          <w:tcPr>
            <w:tcW w:type="dxa" w:w="1184"/>
            <w:vAlign w:val="top"/>
          </w:tcPr>
          <w:p>
            <w:r>
              <w:rPr>
                <w:sz w:val="14"/>
              </w:rPr>
              <w:t>rahe_how_2025</w:t>
            </w:r>
          </w:p>
        </w:tc>
        <w:tc>
          <w:tcPr>
            <w:tcW w:type="dxa" w:w="1184"/>
            <w:vAlign w:val="top"/>
          </w:tcPr>
          <w:p>
            <w:r>
              <w:rPr>
                <w:sz w:val="14"/>
              </w:rPr>
              <w:t>2025</w:t>
            </w:r>
          </w:p>
        </w:tc>
        <w:tc>
          <w:tcPr>
            <w:tcW w:type="dxa" w:w="1184"/>
            <w:vAlign w:val="top"/>
          </w:tcPr>
          <w:p>
            <w:r>
              <w:rPr>
                <w:sz w:val="14"/>
              </w:rPr>
              <w:t>A1</w:t>
            </w:r>
          </w:p>
        </w:tc>
        <w:tc>
          <w:tcPr>
            <w:tcW w:type="dxa" w:w="1184"/>
            <w:vAlign w:val="top"/>
          </w:tcPr>
          <w:p>
            <w:r>
              <w:rPr>
                <w:sz w:val="14"/>
              </w:rPr>
              <w:t>SUPPORTING</w:t>
            </w:r>
          </w:p>
        </w:tc>
        <w:tc>
          <w:tcPr>
            <w:tcW w:type="dxa" w:w="1184"/>
            <w:vAlign w:val="top"/>
          </w:tcPr>
          <w:p>
            <w:r>
              <w:rPr>
                <w:sz w:val="14"/>
              </w:rPr>
              <w:t>In student programming tasks, GPT-4 gave syntactically correct code and generally fewer logical and requirement failures than GPT-3.5, but baseline outputs often failed course conventions and therefore required pedagogical framing.</w:t>
            </w:r>
          </w:p>
        </w:tc>
        <w:tc>
          <w:tcPr>
            <w:tcW w:type="dxa" w:w="1184"/>
            <w:vAlign w:val="top"/>
          </w:tcPr>
          <w:p>
            <w:r>
              <w:rPr>
                <w:sz w:val="14"/>
              </w:rPr>
              <w:t>All responses syntactically correct; GPT-3.5 failed requirements more than twice as often as GPT-4; low course-convention adherence.</w:t>
            </w:r>
          </w:p>
        </w:tc>
        <w:tc>
          <w:tcPr>
            <w:tcW w:type="dxa" w:w="1184"/>
            <w:vAlign w:val="top"/>
          </w:tcPr>
          <w:p>
            <w:r>
              <w:rPr>
                <w:sz w:val="14"/>
              </w:rPr>
              <w:t>Positive performance but constrained</w:t>
            </w:r>
          </w:p>
        </w:tc>
        <w:tc>
          <w:tcPr>
            <w:tcW w:type="dxa" w:w="1184"/>
            <w:vAlign w:val="top"/>
          </w:tcPr>
          <w:p>
            <w:r>
              <w:rPr>
                <w:sz w:val="14"/>
              </w:rPr>
              <w:t>Results / RQ1, pp. 4-6</w:t>
            </w:r>
          </w:p>
        </w:tc>
        <w:tc>
          <w:tcPr>
            <w:tcW w:type="dxa" w:w="1184"/>
            <w:vAlign w:val="top"/>
          </w:tcPr>
          <w:p>
            <w:r>
              <w:rPr>
                <w:sz w:val="14"/>
              </w:rPr>
              <w:t>performance</w:t>
            </w:r>
          </w:p>
        </w:tc>
      </w:tr>
      <w:tr>
        <w:tc>
          <w:tcPr>
            <w:tcW w:type="dxa" w:w="1184"/>
            <w:vAlign w:val="top"/>
          </w:tcPr>
          <w:p>
            <w:r>
              <w:rPr>
                <w:sz w:val="14"/>
              </w:rPr>
              <w:t>takerngsaksiri_students_2024</w:t>
            </w:r>
          </w:p>
        </w:tc>
        <w:tc>
          <w:tcPr>
            <w:tcW w:type="dxa" w:w="1184"/>
            <w:vAlign w:val="top"/>
          </w:tcPr>
          <w:p>
            <w:r>
              <w:rPr>
                <w:sz w:val="14"/>
              </w:rPr>
              <w:t>2024</w:t>
            </w:r>
          </w:p>
        </w:tc>
        <w:tc>
          <w:tcPr>
            <w:tcW w:type="dxa" w:w="1184"/>
            <w:vAlign w:val="top"/>
          </w:tcPr>
          <w:p>
            <w:r>
              <w:rPr>
                <w:sz w:val="14"/>
              </w:rPr>
              <w:t>A2</w:t>
            </w:r>
          </w:p>
        </w:tc>
        <w:tc>
          <w:tcPr>
            <w:tcW w:type="dxa" w:w="1184"/>
            <w:vAlign w:val="top"/>
          </w:tcPr>
          <w:p>
            <w:r>
              <w:rPr>
                <w:sz w:val="14"/>
              </w:rPr>
              <w:t>SUPPORTING</w:t>
            </w:r>
          </w:p>
        </w:tc>
        <w:tc>
          <w:tcPr>
            <w:tcW w:type="dxa" w:w="1184"/>
            <w:vAlign w:val="top"/>
          </w:tcPr>
          <w:p>
            <w:r>
              <w:rPr>
                <w:sz w:val="14"/>
              </w:rPr>
              <w:t>Students perceived AI code completion as improving productivity, offering syntax support and alternative solutions, and sometimes acting as a coding tutor.</w:t>
            </w:r>
          </w:p>
        </w:tc>
        <w:tc>
          <w:tcPr>
            <w:tcW w:type="dxa" w:w="1184"/>
            <w:vAlign w:val="top"/>
          </w:tcPr>
          <w:p>
            <w:r>
              <w:rPr>
                <w:sz w:val="14"/>
              </w:rPr>
              <w:t>Interview/survey findings; RQ1 benefit themes: productivity/efficiency, correct syntax, alternative solutions, tutor role.</w:t>
            </w:r>
          </w:p>
        </w:tc>
        <w:tc>
          <w:tcPr>
            <w:tcW w:type="dxa" w:w="1184"/>
            <w:vAlign w:val="top"/>
          </w:tcPr>
          <w:p>
            <w:r>
              <w:rPr>
                <w:sz w:val="14"/>
              </w:rPr>
              <w:t>Positive perceived effect</w:t>
            </w:r>
          </w:p>
        </w:tc>
        <w:tc>
          <w:tcPr>
            <w:tcW w:type="dxa" w:w="1184"/>
            <w:vAlign w:val="top"/>
          </w:tcPr>
          <w:p>
            <w:r>
              <w:rPr>
                <w:sz w:val="14"/>
              </w:rPr>
              <w:t>Results / RQ1, pp. 2-4</w:t>
            </w:r>
          </w:p>
        </w:tc>
        <w:tc>
          <w:tcPr>
            <w:tcW w:type="dxa" w:w="1184"/>
            <w:vAlign w:val="top"/>
          </w:tcPr>
          <w:p>
            <w:r>
              <w:rPr>
                <w:sz w:val="14"/>
              </w:rPr>
              <w:t>onboarding</w:t>
            </w:r>
          </w:p>
        </w:tc>
      </w:tr>
      <w:tr>
        <w:tc>
          <w:tcPr>
            <w:tcW w:type="dxa" w:w="1184"/>
            <w:vAlign w:val="top"/>
          </w:tcPr>
          <w:p>
            <w:r>
              <w:rPr>
                <w:sz w:val="14"/>
              </w:rPr>
              <w:t>takerngsaksiri_students_2024</w:t>
            </w:r>
          </w:p>
        </w:tc>
        <w:tc>
          <w:tcPr>
            <w:tcW w:type="dxa" w:w="1184"/>
            <w:vAlign w:val="top"/>
          </w:tcPr>
          <w:p>
            <w:r>
              <w:rPr>
                <w:sz w:val="14"/>
              </w:rPr>
              <w:t>2024</w:t>
            </w:r>
          </w:p>
        </w:tc>
        <w:tc>
          <w:tcPr>
            <w:tcW w:type="dxa" w:w="1184"/>
            <w:vAlign w:val="top"/>
          </w:tcPr>
          <w:p>
            <w:r>
              <w:rPr>
                <w:sz w:val="14"/>
              </w:rPr>
              <w:t>A2</w:t>
            </w:r>
          </w:p>
        </w:tc>
        <w:tc>
          <w:tcPr>
            <w:tcW w:type="dxa" w:w="1184"/>
            <w:vAlign w:val="top"/>
          </w:tcPr>
          <w:p>
            <w:r>
              <w:rPr>
                <w:sz w:val="14"/>
              </w:rPr>
              <w:t>SUPPORTING</w:t>
            </w:r>
          </w:p>
        </w:tc>
        <w:tc>
          <w:tcPr>
            <w:tcW w:type="dxa" w:w="1184"/>
            <w:vAlign w:val="top"/>
          </w:tcPr>
          <w:p>
            <w:r>
              <w:rPr>
                <w:sz w:val="14"/>
              </w:rPr>
              <w:t>The same student study reported a strong dependency concern: most participants feared that over-reliance could produce surface-level understanding and weaken problem solving.</w:t>
            </w:r>
          </w:p>
        </w:tc>
        <w:tc>
          <w:tcPr>
            <w:tcW w:type="dxa" w:w="1184"/>
            <w:vAlign w:val="top"/>
          </w:tcPr>
          <w:p>
            <w:r>
              <w:rPr>
                <w:sz w:val="14"/>
              </w:rPr>
              <w:t>90% of students expressed over-reliance concerns.</w:t>
            </w:r>
          </w:p>
        </w:tc>
        <w:tc>
          <w:tcPr>
            <w:tcW w:type="dxa" w:w="1184"/>
            <w:vAlign w:val="top"/>
          </w:tcPr>
          <w:p>
            <w:r>
              <w:rPr>
                <w:sz w:val="14"/>
              </w:rPr>
              <w:t>Negative risk</w:t>
            </w:r>
          </w:p>
        </w:tc>
        <w:tc>
          <w:tcPr>
            <w:tcW w:type="dxa" w:w="1184"/>
            <w:vAlign w:val="top"/>
          </w:tcPr>
          <w:p>
            <w:r>
              <w:rPr>
                <w:sz w:val="14"/>
              </w:rPr>
              <w:t>Results / RQ2, pp. 2-4</w:t>
            </w:r>
          </w:p>
        </w:tc>
        <w:tc>
          <w:tcPr>
            <w:tcW w:type="dxa" w:w="1184"/>
            <w:vAlign w:val="top"/>
          </w:tcPr>
          <w:p>
            <w:r>
              <w:rPr>
                <w:sz w:val="14"/>
              </w:rPr>
              <w:t>skill development</w:t>
            </w:r>
          </w:p>
        </w:tc>
      </w:tr>
      <w:tr>
        <w:tc>
          <w:tcPr>
            <w:tcW w:type="dxa" w:w="1184"/>
            <w:vAlign w:val="top"/>
          </w:tcPr>
          <w:p>
            <w:r>
              <w:rPr>
                <w:sz w:val="14"/>
              </w:rPr>
              <w:t>dakhel_github_2023</w:t>
            </w:r>
          </w:p>
        </w:tc>
        <w:tc>
          <w:tcPr>
            <w:tcW w:type="dxa" w:w="1184"/>
            <w:vAlign w:val="top"/>
          </w:tcPr>
          <w:p>
            <w:r>
              <w:rPr>
                <w:sz w:val="14"/>
              </w:rPr>
              <w:t>2023</w:t>
            </w:r>
          </w:p>
        </w:tc>
        <w:tc>
          <w:tcPr>
            <w:tcW w:type="dxa" w:w="1184"/>
            <w:vAlign w:val="top"/>
          </w:tcPr>
          <w:p>
            <w:r>
              <w:rPr>
                <w:sz w:val="14"/>
              </w:rPr>
              <w:t>A2</w:t>
            </w:r>
          </w:p>
        </w:tc>
        <w:tc>
          <w:tcPr>
            <w:tcW w:type="dxa" w:w="1184"/>
            <w:vAlign w:val="top"/>
          </w:tcPr>
          <w:p>
            <w:r>
              <w:rPr>
                <w:sz w:val="14"/>
              </w:rPr>
              <w:t>SUPPORTING</w:t>
            </w:r>
          </w:p>
        </w:tc>
        <w:tc>
          <w:tcPr>
            <w:tcW w:type="dxa" w:w="1184"/>
            <w:vAlign w:val="top"/>
          </w:tcPr>
          <w:p>
            <w:r>
              <w:rPr>
                <w:sz w:val="14"/>
              </w:rPr>
              <w:t>Copilot solved some fundamental algorithmic tasks but with unstable correctness across trials, making novice acceptance risky when generated code appears plausible.</w:t>
            </w:r>
          </w:p>
        </w:tc>
        <w:tc>
          <w:tcPr>
            <w:tcW w:type="dxa" w:w="1184"/>
            <w:vAlign w:val="top"/>
          </w:tcPr>
          <w:p>
            <w:r>
              <w:rPr>
                <w:sz w:val="14"/>
              </w:rPr>
              <w:t>Sorting trial correct ratio 51.42% in first trial and 34.77% in second trial; 4/8 sorting problems correct in second trial.</w:t>
            </w:r>
          </w:p>
        </w:tc>
        <w:tc>
          <w:tcPr>
            <w:tcW w:type="dxa" w:w="1184"/>
            <w:vAlign w:val="top"/>
          </w:tcPr>
          <w:p>
            <w:r>
              <w:rPr>
                <w:sz w:val="14"/>
              </w:rPr>
              <w:t>Mixed / variable</w:t>
            </w:r>
          </w:p>
        </w:tc>
        <w:tc>
          <w:tcPr>
            <w:tcW w:type="dxa" w:w="1184"/>
            <w:vAlign w:val="top"/>
          </w:tcPr>
          <w:p>
            <w:r>
              <w:rPr>
                <w:sz w:val="14"/>
              </w:rPr>
              <w:t>Results / RQ1, pp. 6-10</w:t>
            </w:r>
          </w:p>
        </w:tc>
        <w:tc>
          <w:tcPr>
            <w:tcW w:type="dxa" w:w="1184"/>
            <w:vAlign w:val="top"/>
          </w:tcPr>
          <w:p>
            <w:r>
              <w:rPr>
                <w:sz w:val="14"/>
              </w:rPr>
              <w:t>performance</w:t>
            </w:r>
          </w:p>
        </w:tc>
      </w:tr>
      <w:tr>
        <w:tc>
          <w:tcPr>
            <w:tcW w:type="dxa" w:w="1184"/>
            <w:vAlign w:val="top"/>
          </w:tcPr>
          <w:p>
            <w:r>
              <w:rPr>
                <w:sz w:val="14"/>
              </w:rPr>
              <w:t>imai_is_2022</w:t>
            </w:r>
          </w:p>
        </w:tc>
        <w:tc>
          <w:tcPr>
            <w:tcW w:type="dxa" w:w="1184"/>
            <w:vAlign w:val="top"/>
          </w:tcPr>
          <w:p>
            <w:r>
              <w:rPr>
                <w:sz w:val="14"/>
              </w:rPr>
              <w:t>2022</w:t>
            </w:r>
          </w:p>
        </w:tc>
        <w:tc>
          <w:tcPr>
            <w:tcW w:type="dxa" w:w="1184"/>
            <w:vAlign w:val="top"/>
          </w:tcPr>
          <w:p>
            <w:r>
              <w:rPr>
                <w:sz w:val="14"/>
              </w:rPr>
              <w:t>B</w:t>
            </w:r>
          </w:p>
        </w:tc>
        <w:tc>
          <w:tcPr>
            <w:tcW w:type="dxa" w:w="1184"/>
            <w:vAlign w:val="top"/>
          </w:tcPr>
          <w:p>
            <w:r>
              <w:rPr>
                <w:sz w:val="14"/>
              </w:rPr>
              <w:t>SUPPORTING</w:t>
            </w:r>
          </w:p>
        </w:tc>
        <w:tc>
          <w:tcPr>
            <w:tcW w:type="dxa" w:w="1184"/>
            <w:vAlign w:val="top"/>
          </w:tcPr>
          <w:p>
            <w:r>
              <w:rPr>
                <w:sz w:val="14"/>
              </w:rPr>
              <w:t>In a small empirical comparison, Copilot produced the highest maximum and mean additions to lines of code, but the study treated later deletion as an indication that generated productivity may trade off against quality.</w:t>
            </w:r>
          </w:p>
        </w:tc>
        <w:tc>
          <w:tcPr>
            <w:tcW w:type="dxa" w:w="1184"/>
            <w:vAlign w:val="top"/>
          </w:tcPr>
          <w:p>
            <w:r>
              <w:rPr>
                <w:sz w:val="14"/>
              </w:rPr>
              <w:t>Productivity measured by added LOC; quality by deleted LOC in subsequent trial.</w:t>
            </w:r>
          </w:p>
        </w:tc>
        <w:tc>
          <w:tcPr>
            <w:tcW w:type="dxa" w:w="1184"/>
            <w:vAlign w:val="top"/>
          </w:tcPr>
          <w:p>
            <w:r>
              <w:rPr>
                <w:sz w:val="14"/>
              </w:rPr>
              <w:t>Positive productivity with quality caveat</w:t>
            </w:r>
          </w:p>
        </w:tc>
        <w:tc>
          <w:tcPr>
            <w:tcW w:type="dxa" w:w="1184"/>
            <w:vAlign w:val="top"/>
          </w:tcPr>
          <w:p>
            <w:r>
              <w:rPr>
                <w:sz w:val="14"/>
              </w:rPr>
              <w:t>Results, pp. 3-4</w:t>
            </w:r>
          </w:p>
        </w:tc>
        <w:tc>
          <w:tcPr>
            <w:tcW w:type="dxa" w:w="1184"/>
            <w:vAlign w:val="top"/>
          </w:tcPr>
          <w:p>
            <w:r>
              <w:rPr>
                <w:sz w:val="14"/>
              </w:rPr>
              <w:t>performance</w:t>
            </w:r>
          </w:p>
        </w:tc>
      </w:tr>
      <w:tr>
        <w:tc>
          <w:tcPr>
            <w:tcW w:type="dxa" w:w="1184"/>
            <w:vAlign w:val="top"/>
          </w:tcPr>
          <w:p>
            <w:r>
              <w:rPr>
                <w:sz w:val="14"/>
              </w:rPr>
              <w:t>bento_leveraging_2025</w:t>
            </w:r>
          </w:p>
        </w:tc>
        <w:tc>
          <w:tcPr>
            <w:tcW w:type="dxa" w:w="1184"/>
            <w:vAlign w:val="top"/>
          </w:tcPr>
          <w:p>
            <w:r>
              <w:rPr>
                <w:sz w:val="14"/>
              </w:rPr>
              <w:t>2025</w:t>
            </w:r>
          </w:p>
        </w:tc>
        <w:tc>
          <w:tcPr>
            <w:tcW w:type="dxa" w:w="1184"/>
            <w:vAlign w:val="top"/>
          </w:tcPr>
          <w:p>
            <w:r>
              <w:rPr>
                <w:sz w:val="14"/>
              </w:rPr>
              <w:t>B</w:t>
            </w:r>
          </w:p>
        </w:tc>
        <w:tc>
          <w:tcPr>
            <w:tcW w:type="dxa" w:w="1184"/>
            <w:vAlign w:val="top"/>
          </w:tcPr>
          <w:p>
            <w:r>
              <w:rPr>
                <w:sz w:val="14"/>
              </w:rPr>
              <w:t>SUPPORTING</w:t>
            </w:r>
          </w:p>
        </w:tc>
        <w:tc>
          <w:tcPr>
            <w:tcW w:type="dxa" w:w="1184"/>
            <w:vAlign w:val="top"/>
          </w:tcPr>
          <w:p>
            <w:r>
              <w:rPr>
                <w:sz w:val="14"/>
              </w:rPr>
              <w:t>Engineering students reported that AI tools accelerated implementation and supported learning, but their reflections also highlighted context-retention limits and the need to evaluate outputs rather than accept them.</w:t>
            </w:r>
          </w:p>
        </w:tc>
        <w:tc>
          <w:tcPr>
            <w:tcW w:type="dxa" w:w="1184"/>
            <w:vAlign w:val="top"/>
          </w:tcPr>
          <w:p>
            <w:r>
              <w:rPr>
                <w:sz w:val="14"/>
              </w:rPr>
              <w:t>Qualitative course reflections on ease of adoption, context retention, learning outcomes and skill acquisition.</w:t>
            </w:r>
          </w:p>
        </w:tc>
        <w:tc>
          <w:tcPr>
            <w:tcW w:type="dxa" w:w="1184"/>
            <w:vAlign w:val="top"/>
          </w:tcPr>
          <w:p>
            <w:r>
              <w:rPr>
                <w:sz w:val="14"/>
              </w:rPr>
              <w:t>Mixed / instructional support</w:t>
            </w:r>
          </w:p>
        </w:tc>
        <w:tc>
          <w:tcPr>
            <w:tcW w:type="dxa" w:w="1184"/>
            <w:vAlign w:val="top"/>
          </w:tcPr>
          <w:p>
            <w:r>
              <w:rPr>
                <w:sz w:val="14"/>
              </w:rPr>
              <w:t>Results and Analysis, pp. 3-5</w:t>
            </w:r>
          </w:p>
        </w:tc>
        <w:tc>
          <w:tcPr>
            <w:tcW w:type="dxa" w:w="1184"/>
            <w:vAlign w:val="top"/>
          </w:tcPr>
          <w:p>
            <w:r>
              <w:rPr>
                <w:sz w:val="14"/>
              </w:rPr>
              <w:t>skill development</w:t>
            </w:r>
          </w:p>
        </w:tc>
      </w:tr>
      <w:tr>
        <w:tc>
          <w:tcPr>
            <w:tcW w:type="dxa" w:w="1184"/>
            <w:vAlign w:val="top"/>
          </w:tcPr>
          <w:p>
            <w:r>
              <w:rPr>
                <w:sz w:val="14"/>
              </w:rPr>
              <w:t>liang_large-scale_2024</w:t>
            </w:r>
          </w:p>
        </w:tc>
        <w:tc>
          <w:tcPr>
            <w:tcW w:type="dxa" w:w="1184"/>
            <w:vAlign w:val="top"/>
          </w:tcPr>
          <w:p>
            <w:r>
              <w:rPr>
                <w:sz w:val="14"/>
              </w:rPr>
              <w:t>2024</w:t>
            </w:r>
          </w:p>
        </w:tc>
        <w:tc>
          <w:tcPr>
            <w:tcW w:type="dxa" w:w="1184"/>
            <w:vAlign w:val="top"/>
          </w:tcPr>
          <w:p>
            <w:r>
              <w:rPr>
                <w:sz w:val="14"/>
              </w:rPr>
              <w:t>A2</w:t>
            </w:r>
          </w:p>
        </w:tc>
        <w:tc>
          <w:tcPr>
            <w:tcW w:type="dxa" w:w="1184"/>
            <w:vAlign w:val="top"/>
          </w:tcPr>
          <w:p>
            <w:r>
              <w:rPr>
                <w:sz w:val="14"/>
              </w:rPr>
              <w:t>SUPPORTING</w:t>
            </w:r>
          </w:p>
        </w:tc>
        <w:tc>
          <w:tcPr>
            <w:tcW w:type="dxa" w:w="1184"/>
            <w:vAlign w:val="top"/>
          </w:tcPr>
          <w:p>
            <w:r>
              <w:rPr>
                <w:sz w:val="14"/>
              </w:rPr>
              <w:t>A large survey of developers found that AI programming assistants are used both for acceleration and exploration, including recalling or learning APIs and syntax, which translates to educational contexts as a design tension between speed and understanding.</w:t>
            </w:r>
          </w:p>
        </w:tc>
        <w:tc>
          <w:tcPr>
            <w:tcW w:type="dxa" w:w="1184"/>
            <w:vAlign w:val="top"/>
          </w:tcPr>
          <w:p>
            <w:r>
              <w:rPr>
                <w:sz w:val="14"/>
              </w:rPr>
              <w:t>410 survey responses; discussion distinguishes acceleration mode and exploration mode.</w:t>
            </w:r>
          </w:p>
        </w:tc>
        <w:tc>
          <w:tcPr>
            <w:tcW w:type="dxa" w:w="1184"/>
            <w:vAlign w:val="top"/>
          </w:tcPr>
          <w:p>
            <w:r>
              <w:rPr>
                <w:sz w:val="14"/>
              </w:rPr>
              <w:t>Mixed / design tension</w:t>
            </w:r>
          </w:p>
        </w:tc>
        <w:tc>
          <w:tcPr>
            <w:tcW w:type="dxa" w:w="1184"/>
            <w:vAlign w:val="top"/>
          </w:tcPr>
          <w:p>
            <w:r>
              <w:rPr>
                <w:sz w:val="14"/>
              </w:rPr>
              <w:t>Results and Discussion, pp. 5-14</w:t>
            </w:r>
          </w:p>
        </w:tc>
        <w:tc>
          <w:tcPr>
            <w:tcW w:type="dxa" w:w="1184"/>
            <w:vAlign w:val="top"/>
          </w:tcPr>
          <w:p>
            <w:r>
              <w:rPr>
                <w:sz w:val="14"/>
              </w:rPr>
              <w:t>metacognition</w:t>
            </w:r>
          </w:p>
        </w:tc>
      </w:tr>
      <w:tr>
        <w:tc>
          <w:tcPr>
            <w:tcW w:type="dxa" w:w="1184"/>
            <w:vAlign w:val="top"/>
          </w:tcPr>
          <w:p>
            <w:r>
              <w:rPr>
                <w:sz w:val="14"/>
              </w:rPr>
              <w:t>shirafuji_exploring_2023</w:t>
            </w:r>
          </w:p>
        </w:tc>
        <w:tc>
          <w:tcPr>
            <w:tcW w:type="dxa" w:w="1184"/>
            <w:vAlign w:val="top"/>
          </w:tcPr>
          <w:p>
            <w:r>
              <w:rPr>
                <w:sz w:val="14"/>
              </w:rPr>
              <w:t>2023</w:t>
            </w:r>
          </w:p>
        </w:tc>
        <w:tc>
          <w:tcPr>
            <w:tcW w:type="dxa" w:w="1184"/>
            <w:vAlign w:val="top"/>
          </w:tcPr>
          <w:p>
            <w:r>
              <w:rPr>
                <w:sz w:val="14"/>
              </w:rPr>
              <w:t>A1</w:t>
            </w:r>
          </w:p>
        </w:tc>
        <w:tc>
          <w:tcPr>
            <w:tcW w:type="dxa" w:w="1184"/>
            <w:vAlign w:val="top"/>
          </w:tcPr>
          <w:p>
            <w:r>
              <w:rPr>
                <w:sz w:val="14"/>
              </w:rPr>
              <w:t>SUPPORTING</w:t>
            </w:r>
          </w:p>
        </w:tc>
        <w:tc>
          <w:tcPr>
            <w:tcW w:type="dxa" w:w="1184"/>
            <w:vAlign w:val="top"/>
          </w:tcPr>
          <w:p>
            <w:r>
              <w:rPr>
                <w:sz w:val="14"/>
              </w:rPr>
              <w:t>Benchmark evidence showed that programming-problem performance depends on prompt/problem representation; ChatGPT had high solved rates across formats, while weaker models varied more substantially.</w:t>
            </w:r>
          </w:p>
        </w:tc>
        <w:tc>
          <w:tcPr>
            <w:tcW w:type="dxa" w:w="1184"/>
            <w:vAlign w:val="top"/>
          </w:tcPr>
          <w:p>
            <w:r>
              <w:rPr>
                <w:sz w:val="14"/>
              </w:rPr>
              <w:t>40 problems × 100 programs; ChatGPT average solved rate 89.1%; Codex average 36.0%; CodeGen 10.3%; InstructGPT 73.9%.</w:t>
            </w:r>
          </w:p>
        </w:tc>
        <w:tc>
          <w:tcPr>
            <w:tcW w:type="dxa" w:w="1184"/>
            <w:vAlign w:val="top"/>
          </w:tcPr>
          <w:p>
            <w:r>
              <w:rPr>
                <w:sz w:val="14"/>
              </w:rPr>
              <w:t>Positive for stronger models; prompt-sensitive</w:t>
            </w:r>
          </w:p>
        </w:tc>
        <w:tc>
          <w:tcPr>
            <w:tcW w:type="dxa" w:w="1184"/>
            <w:vAlign w:val="top"/>
          </w:tcPr>
          <w:p>
            <w:r>
              <w:rPr>
                <w:sz w:val="14"/>
              </w:rPr>
              <w:t>Results and Discussion, pp. 5-7</w:t>
            </w:r>
          </w:p>
        </w:tc>
        <w:tc>
          <w:tcPr>
            <w:tcW w:type="dxa" w:w="1184"/>
            <w:vAlign w:val="top"/>
          </w:tcPr>
          <w:p>
            <w:r>
              <w:rPr>
                <w:sz w:val="14"/>
              </w:rPr>
              <w:t>performance</w:t>
            </w:r>
          </w:p>
        </w:tc>
      </w:tr>
      <w:tr>
        <w:tc>
          <w:tcPr>
            <w:tcW w:type="dxa" w:w="1184"/>
            <w:vAlign w:val="top"/>
          </w:tcPr>
          <w:p>
            <w:r>
              <w:rPr>
                <w:sz w:val="14"/>
              </w:rPr>
              <w:t>min_beyond_2024</w:t>
            </w:r>
          </w:p>
        </w:tc>
        <w:tc>
          <w:tcPr>
            <w:tcW w:type="dxa" w:w="1184"/>
            <w:vAlign w:val="top"/>
          </w:tcPr>
          <w:p>
            <w:r>
              <w:rPr>
                <w:sz w:val="14"/>
              </w:rPr>
              <w:t>2024</w:t>
            </w:r>
          </w:p>
        </w:tc>
        <w:tc>
          <w:tcPr>
            <w:tcW w:type="dxa" w:w="1184"/>
            <w:vAlign w:val="top"/>
          </w:tcPr>
          <w:p>
            <w:r>
              <w:rPr>
                <w:sz w:val="14"/>
              </w:rPr>
              <w:t>A1</w:t>
            </w:r>
          </w:p>
        </w:tc>
        <w:tc>
          <w:tcPr>
            <w:tcW w:type="dxa" w:w="1184"/>
            <w:vAlign w:val="top"/>
          </w:tcPr>
          <w:p>
            <w:r>
              <w:rPr>
                <w:sz w:val="14"/>
              </w:rPr>
              <w:t>SUPPORTING</w:t>
            </w:r>
          </w:p>
        </w:tc>
        <w:tc>
          <w:tcPr>
            <w:tcW w:type="dxa" w:w="1184"/>
            <w:vAlign w:val="top"/>
          </w:tcPr>
          <w:p>
            <w:r>
              <w:rPr>
                <w:sz w:val="14"/>
              </w:rPr>
              <w:t>Self-consistency evidence indicates that accuracy alone is insufficient for educational use, because models may fail to preserve semantic consistency between code and specifications.</w:t>
            </w:r>
          </w:p>
        </w:tc>
        <w:tc>
          <w:tcPr>
            <w:tcW w:type="dxa" w:w="1184"/>
            <w:vAlign w:val="top"/>
          </w:tcPr>
          <w:p>
            <w:r>
              <w:rPr>
                <w:sz w:val="14"/>
              </w:rPr>
              <w:t>IdentityChain evaluated 11 Code LLMs; self-consistency distinct from general accuracy.</w:t>
            </w:r>
          </w:p>
        </w:tc>
        <w:tc>
          <w:tcPr>
            <w:tcW w:type="dxa" w:w="1184"/>
            <w:vAlign w:val="top"/>
          </w:tcPr>
          <w:p>
            <w:r>
              <w:rPr>
                <w:sz w:val="14"/>
              </w:rPr>
              <w:t>Negative / assessment caution</w:t>
            </w:r>
          </w:p>
        </w:tc>
        <w:tc>
          <w:tcPr>
            <w:tcW w:type="dxa" w:w="1184"/>
            <w:vAlign w:val="top"/>
          </w:tcPr>
          <w:p>
            <w:r>
              <w:rPr>
                <w:sz w:val="14"/>
              </w:rPr>
              <w:t>Results and Discussion, pp. 6-10</w:t>
            </w:r>
          </w:p>
        </w:tc>
        <w:tc>
          <w:tcPr>
            <w:tcW w:type="dxa" w:w="1184"/>
            <w:vAlign w:val="top"/>
          </w:tcPr>
          <w:p>
            <w:r>
              <w:rPr>
                <w:sz w:val="14"/>
              </w:rPr>
              <w:t>assessment</w:t>
            </w:r>
          </w:p>
        </w:tc>
      </w:tr>
      <w:tr>
        <w:tc>
          <w:tcPr>
            <w:tcW w:type="dxa" w:w="1184"/>
            <w:vAlign w:val="top"/>
          </w:tcPr>
          <w:p>
            <w:r>
              <w:rPr>
                <w:sz w:val="14"/>
              </w:rPr>
              <w:t>nascimento_how_2025</w:t>
            </w:r>
          </w:p>
        </w:tc>
        <w:tc>
          <w:tcPr>
            <w:tcW w:type="dxa" w:w="1184"/>
            <w:vAlign w:val="top"/>
          </w:tcPr>
          <w:p>
            <w:r>
              <w:rPr>
                <w:sz w:val="14"/>
              </w:rPr>
              <w:t>2025</w:t>
            </w:r>
          </w:p>
        </w:tc>
        <w:tc>
          <w:tcPr>
            <w:tcW w:type="dxa" w:w="1184"/>
            <w:vAlign w:val="top"/>
          </w:tcPr>
          <w:p>
            <w:r>
              <w:rPr>
                <w:sz w:val="14"/>
              </w:rPr>
              <w:t>A2</w:t>
            </w:r>
          </w:p>
        </w:tc>
        <w:tc>
          <w:tcPr>
            <w:tcW w:type="dxa" w:w="1184"/>
            <w:vAlign w:val="top"/>
          </w:tcPr>
          <w:p>
            <w:r>
              <w:rPr>
                <w:sz w:val="14"/>
              </w:rPr>
              <w:t>SUPPORTING</w:t>
            </w:r>
          </w:p>
        </w:tc>
        <w:tc>
          <w:tcPr>
            <w:tcW w:type="dxa" w:w="1184"/>
            <w:vAlign w:val="top"/>
          </w:tcPr>
          <w:p>
            <w:r>
              <w:rPr>
                <w:sz w:val="14"/>
              </w:rPr>
              <w:t>In data-science coding tasks, LLMs exceeded low and moderate success baselines but failed to sustain a 70% success standard across diverse challenges.</w:t>
            </w:r>
          </w:p>
        </w:tc>
        <w:tc>
          <w:tcPr>
            <w:tcW w:type="dxa" w:w="1184"/>
            <w:vAlign w:val="top"/>
          </w:tcPr>
          <w:p>
            <w:r>
              <w:rPr>
                <w:sz w:val="14"/>
              </w:rPr>
              <w:t>Copilot 60%, ChatGPT 72%, Perplexity 66%, Claude 70%; none significant at 70% baseline.</w:t>
            </w:r>
          </w:p>
        </w:tc>
        <w:tc>
          <w:tcPr>
            <w:tcW w:type="dxa" w:w="1184"/>
            <w:vAlign w:val="top"/>
          </w:tcPr>
          <w:p>
            <w:r>
              <w:rPr>
                <w:sz w:val="14"/>
              </w:rPr>
              <w:t>Positive but bounded</w:t>
            </w:r>
          </w:p>
        </w:tc>
        <w:tc>
          <w:tcPr>
            <w:tcW w:type="dxa" w:w="1184"/>
            <w:vAlign w:val="top"/>
          </w:tcPr>
          <w:p>
            <w:r>
              <w:rPr>
                <w:sz w:val="14"/>
              </w:rPr>
              <w:t>Results, pp. 4-8</w:t>
            </w:r>
          </w:p>
        </w:tc>
        <w:tc>
          <w:tcPr>
            <w:tcW w:type="dxa" w:w="1184"/>
            <w:vAlign w:val="top"/>
          </w:tcPr>
          <w:p>
            <w:r>
              <w:rPr>
                <w:sz w:val="14"/>
              </w:rPr>
              <w:t>performance</w:t>
            </w:r>
          </w:p>
        </w:tc>
      </w:tr>
      <w:tr>
        <w:tc>
          <w:tcPr>
            <w:tcW w:type="dxa" w:w="1184"/>
            <w:vAlign w:val="top"/>
          </w:tcPr>
          <w:p>
            <w:r>
              <w:rPr>
                <w:sz w:val="14"/>
              </w:rPr>
              <w:t>tan_how_2024</w:t>
            </w:r>
          </w:p>
        </w:tc>
        <w:tc>
          <w:tcPr>
            <w:tcW w:type="dxa" w:w="1184"/>
            <w:vAlign w:val="top"/>
          </w:tcPr>
          <w:p>
            <w:r>
              <w:rPr>
                <w:sz w:val="14"/>
              </w:rPr>
              <w:t>2024</w:t>
            </w:r>
          </w:p>
        </w:tc>
        <w:tc>
          <w:tcPr>
            <w:tcW w:type="dxa" w:w="1184"/>
            <w:vAlign w:val="top"/>
          </w:tcPr>
          <w:p>
            <w:r>
              <w:rPr>
                <w:sz w:val="14"/>
              </w:rPr>
              <w:t>A2</w:t>
            </w:r>
          </w:p>
        </w:tc>
        <w:tc>
          <w:tcPr>
            <w:tcW w:type="dxa" w:w="1184"/>
            <w:vAlign w:val="top"/>
          </w:tcPr>
          <w:p>
            <w:r>
              <w:rPr>
                <w:sz w:val="14"/>
              </w:rPr>
              <w:t>SUPPORTING</w:t>
            </w:r>
          </w:p>
        </w:tc>
        <w:tc>
          <w:tcPr>
            <w:tcW w:type="dxa" w:w="1184"/>
            <w:vAlign w:val="top"/>
          </w:tcPr>
          <w:p>
            <w:r>
              <w:rPr>
                <w:sz w:val="14"/>
              </w:rPr>
              <w:t>Developer-needs evidence reinforces that AI assistants still miss important usability requirements, so educational deployment should teach prompting, checking, and fallback strategies rather than only tool operation.</w:t>
            </w:r>
          </w:p>
        </w:tc>
        <w:tc>
          <w:tcPr>
            <w:tcW w:type="dxa" w:w="1184"/>
            <w:vAlign w:val="top"/>
          </w:tcPr>
          <w:p>
            <w:r>
              <w:rPr>
                <w:sz w:val="14"/>
              </w:rPr>
              <w:t>Controlled/mixed-methods evidence on assistant fit to developer needs; usability gaps in generated suggestions.</w:t>
            </w:r>
          </w:p>
        </w:tc>
        <w:tc>
          <w:tcPr>
            <w:tcW w:type="dxa" w:w="1184"/>
            <w:vAlign w:val="top"/>
          </w:tcPr>
          <w:p>
            <w:r>
              <w:rPr>
                <w:sz w:val="14"/>
              </w:rPr>
              <w:t>Mixed / design caution</w:t>
            </w:r>
          </w:p>
        </w:tc>
        <w:tc>
          <w:tcPr>
            <w:tcW w:type="dxa" w:w="1184"/>
            <w:vAlign w:val="top"/>
          </w:tcPr>
          <w:p>
            <w:r>
              <w:rPr>
                <w:sz w:val="14"/>
              </w:rPr>
              <w:t>Findings and Discussion, pp. 4-10</w:t>
            </w:r>
          </w:p>
        </w:tc>
        <w:tc>
          <w:tcPr>
            <w:tcW w:type="dxa" w:w="1184"/>
            <w:vAlign w:val="top"/>
          </w:tcPr>
          <w:p>
            <w:r>
              <w:rPr>
                <w:sz w:val="14"/>
              </w:rPr>
              <w:t>metacognition</w:t>
            </w:r>
          </w:p>
        </w:tc>
      </w:tr>
    </w:tbl>
    <w:p>
      <w:pPr>
        <w:pStyle w:val="Heading1"/>
      </w:pPr>
      <w:r>
        <w:t>2. Analytical narrative</w:t>
      </w:r>
    </w:p>
    <w:p>
      <w:r>
        <w:t>Performance effects. SUPPORT evidence does not justify a simple claim that novices and students always perform better with AI tools. It supports a narrower claim: AI assistance can improve apparent task progress, solution availability, and syntactic fluency, but these gains are conditional on model strength, task type, prompt representation, and learners’ ability to validate outputs. In beginner-help contexts, Hellas et al. found that GPT-3.5 was generally stronger than Codex, yet responses to 150 help requests still missed issues and introduced false positives, which makes the tool useful as provisional assistance rather than an autonomous tutor [1]. Rahe and Maalej similarly found that GPT-4 produced more reliable student-facing solutions than GPT-3.5, with all outputs syntactically valid, but the models did not reliably follow course conventions, so correctness remained only one part of pedagogical fitness [2]. Student perceptions in Takerngsaksiri et al. add a complementary view: learners valued code completion for productivity, syntax support, alternative solutions, and tutor-like scaffolding [3]. However, benchmark-oriented SUPPORT papers nuance that optimism. Dakhel et al. reported substantial variation in Copilot correctness across algorithmic trials, and Shirafuji et al. showed that solved rates varied markedly by model and problem representation, with ChatGPT much stronger than Codex or CodeGen on the tested programming problems [5], [9]. Nascimento et al. extends this caution to data-science coding: several LLMs exceeded lower success baselines, but the study did not support a robust 70% success standard across diverse challenges [11].</w:t>
      </w:r>
    </w:p>
    <w:p>
      <w:r>
        <w:t>Comprehension and understanding gaps. The strongest educational pattern is not merely that AI can produce code, but that students must understand when and why generated code is acceptable. Hellas et al. is especially important because the unit of analysis is a beginner’s help request rather than a benchmark prompt; the study shows that generated explanations can be partially helpful while still failing to diagnose the complete novice problem [1]. Rahe and Maalej likewise indicate that syntactic correctness is insufficient for course-aligned learning, because code can run or appear plausible while violating conventions and expected knowledge boundaries [2]. Takerngsaksiri et al. makes the comprehension issue explicit: students wanted explanations of suggested code and best-practice alternatives, not only completions [3], [4]. Min et al. strengthens this point methodologically by arguing that model assessment must go beyond single-task accuracy to semantic self-consistency between specifications and code; for education, this means that instructors should evaluate whether tools support coherent understanding, not just whether they return passing answers [10].</w:t>
      </w:r>
    </w:p>
    <w:p>
      <w:r>
        <w:t>Skill development and dependency risks. SUPPORT evidence is consistent on the dependency risk, although it varies in empirical strength. The clearest student-facing signal is Takerngsaksiri et al.: 90% of students expressed concern that over-reliance could lead to surface-level understanding, weaker problem-solving skills, and reduced creativity [4]. Dakhel et al. adds a mechanism for this risk: plausible but buggy or inconsistent Copilot solutions may be accepted by novices who lack enough expertise to detect algorithmic errors [5]. Bento et al. reports a more constructive but still cautious view from engineering education, where AI tools accelerated implementation and supported learning reflections, yet students still faced limits around context retention and output evaluation [7]. Imai’s small comparison also warns against reading generated volume as learning: Copilot produced more added lines of code, but the study used subsequent deletion as a quality signal, suggesting that apparent productivity can hide later correction work [6].</w:t>
      </w:r>
    </w:p>
    <w:p>
      <w:r>
        <w:t>Educational design implications. The SUPPORT corpus therefore favours guided integration rather than unrestricted substitution. First, AI tools should be framed as scaffolds for exploration, comparison, and feedback, not as answer providers. Liang et al.’s distinction between acceleration and exploration modes is useful here: in educational settings, the exploration mode should be deliberately designed so that students explain, test, and revise suggestions rather than merely minimise keystrokes [8]. Second, assessment should require evidence of comprehension: traceable prompts, rationale for accepted suggestions, tests, debugging notes, and reflection on rejected outputs. Third, tool use should be differentiated by course level. Beginners may benefit from syntax support and worked alternatives, but they also need guardrails because they are least able to recognise hallucinated diagnoses or subtly wrong algorithms [1], [5]. Fourth, instructors should avoid using benchmark success as a direct proxy for learning quality. Shirafuji et al., Min et al., and Nascimento et al. collectively show that accuracy, self-consistency, and task-domain robustness are distinct dimensions of tool behaviour [9], [10], [11]. A defensible educational design should therefore treat prompting as a learnable metacognitive practice: students must formulate intent, inspect generated code, compare alternatives, test behaviour, and articulate why a suggestion is valid in the local programming context [12].</w:t>
      </w:r>
    </w:p>
    <w:p>
      <w:pPr>
        <w:pStyle w:val="Heading1"/>
      </w:pPr>
      <w:r>
        <w:t>3. Triangulation note</w:t>
      </w:r>
    </w:p>
    <w:p>
      <w:r>
        <w:t>These SUPPORT findings extend the CORE evidence on prompting by relocating prompting from a general interaction skill to an explicitly educational competence. The SUPPORT corpus confirms that prompt formulation and contextual framing shape output usefulness, but it also nuances the claim by showing that novice learning depends on post-generation interpretation: students need to understand generated code, detect false positives, recognise model inconsistency, and align outputs with course conventions. The educational evidence is therefore thinner than the general HAI evidence, but it adds an important boundary condition: prompting alone is not enough unless it is embedded in assessment routines that require explanation, testing, and reflection.</w:t>
      </w:r>
    </w:p>
    <w:p>
      <w:pPr>
        <w:pStyle w:val="Heading1"/>
      </w:pPr>
      <w:r>
        <w:t>4. References</w:t>
      </w:r>
    </w:p>
    <w:p>
      <w:r>
        <w:t>[1] Exploring the Responses of Large Language Models to Beginner Programmers’ Help Requests. Hellas, Arto; Leinonen, Juho; Sarsa, Sami; Koutcheme, Charles; Kujanpää, Lilja; Sorva, Juha, 2023. Bibkey: hellas_exploring_2023.</w:t>
      </w:r>
    </w:p>
    <w:p>
      <w:r>
        <w:t>[2] How Do Programming Students Use Generative AI?. Rahe, Christian; Maalej, Walid, 2025. Bibkey: rahe_how_2025.</w:t>
      </w:r>
    </w:p>
    <w:p>
      <w:r>
        <w:t>[3] Students' Perspectives on AI Code Completion: Benefits and Challenges. Takerngsaksiri, Wannita; Warusavitarne, Cleshan; Yaacoub, Christian; Keng Hou, Matthew Hee; Tantithamthavorn, Chakkrit, 2024. Bibkey: takerngsaksiri_students_2024.</w:t>
      </w:r>
    </w:p>
    <w:p>
      <w:r>
        <w:t>[4] GitHub Copilot AI Pair Programmer: Asset or Liability?. Dakhel, Arghavan Moradi; Majdinasab, Vahid; Nikanjam, Amin; Khomh, Foutse; Desmarais, Michel C.; Jiang, Zhen Ming, 2023. Bibkey: dakhel_github_2023.</w:t>
      </w:r>
    </w:p>
    <w:p>
      <w:r>
        <w:t>[5] Is GitHub Copilot a Substitute for Human Pair-programming? An Empirical Study. Imai, Saki, 2022. Bibkey: imai_is_2022.</w:t>
      </w:r>
    </w:p>
    <w:p>
      <w:r>
        <w:t>[6] Leveraging AI Tools in Engineering Education: Promise and Pitfalls of AI in Software Development. Bento, Antonio Carlos; Silva, José Reinaldo; Barretto, Marcos Ribeiro Pereira; Camacho-León, Sérgio; Torres-Torres, Elsa Yolanda, 2025. Bibkey: bento_leveraging_2025.</w:t>
      </w:r>
    </w:p>
    <w:p>
      <w:r>
        <w:t>[7] A Large-Scale Survey on the Usability of AI Programming Assistants: Successes and Challenges. Liang, Jenny T.; Yang, Chenyang; Myers, Brad A., 2024. Bibkey: liang_large-scale_2024.</w:t>
      </w:r>
    </w:p>
    <w:p>
      <w:r>
        <w:t>[8] Exploring the Robustness of Large Language Models for Solving Programming Problems. Shirafuji, Atsushi; Watanobe, Yutaka; Ito, Takumi; Morishita, Makoto; Nakamura, Yuki; Oda, Yusuke; Suzuki, Jun, 2023. Bibkey: shirafuji_exploring_2023.</w:t>
      </w:r>
    </w:p>
    <w:p>
      <w:r>
        <w:t>[9] Beyond Accuracy: Evaluating Self-Consistency of Code Large Language Models with IdentityChain. Min, Marcus J.; Ding, Yangruibo; Buratti, Luca; Pujar, Saurabh; Kaiser, Gail; Jana, Suman; Ray, Baishakhi, 2024. Bibkey: min_beyond_2024.</w:t>
      </w:r>
    </w:p>
    <w:p>
      <w:r>
        <w:t>[10] How Effective are LLMs for Data Science Coding? A Controlled Experiment. Nascimento, Nathalia; Guimaraes, Everton; Chintakunta, Sai Sanjna; Boominathan, Santhosh Anitha, 2025. Bibkey: nascimento_how_2025.</w:t>
      </w:r>
    </w:p>
    <w:p>
      <w:r>
        <w:t>[11] How Far are AI-powered Programming Assistants from Meeting Developers' Needs?. Tan, Xin; Long, Xiao; Ni, Xianjun; Zhu, Yinghao; Jiang, Jing; Zhang, Li, 2024. Bibkey: tan_how_2024.</w:t>
      </w:r>
    </w:p>
    <w:sectPr w:rsidR="00FC693F" w:rsidRPr="0006063C" w:rsidSect="00034616">
      <w:pgSz w:w="12240" w:h="15840"/>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