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1.3 — NB5 Cognitive Load and Human Factors Analytical Narrative</w:t>
      </w:r>
    </w:p>
    <w:p>
      <w:r>
        <w:t>Scope: Cognitive Load sheet from Papers_Dimensiones_Pequeñas.xlsx. Bibkeys were checked against the uploaded BIB files and quality tiers were retained as A1, A2, or B from the scope spreadsheet.</w:t>
      </w:r>
    </w:p>
    <w:p>
      <w:pPr>
        <w:pStyle w:val="Heading1"/>
      </w:pPr>
      <w:r>
        <w:t>1. Evidence matrix</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c>
          <w:tcPr>
            <w:tcW w:type="dxa" w:w="1726"/>
          </w:tcPr>
          <w:p>
            <w:r>
              <w:t>Bibkey</w:t>
            </w:r>
          </w:p>
        </w:tc>
        <w:tc>
          <w:tcPr>
            <w:tcW w:type="dxa" w:w="1726"/>
          </w:tcPr>
          <w:p>
            <w:r>
              <w:t>Source notebook</w:t>
            </w:r>
          </w:p>
        </w:tc>
        <w:tc>
          <w:tcPr>
            <w:tcW w:type="dxa" w:w="1726"/>
          </w:tcPr>
          <w:p>
            <w:r>
              <w:t>Quality tier</w:t>
            </w:r>
          </w:p>
        </w:tc>
        <w:tc>
          <w:tcPr>
            <w:tcW w:type="dxa" w:w="1726"/>
          </w:tcPr>
          <w:p>
            <w:r>
              <w:t>Segment</w:t>
            </w:r>
          </w:p>
        </w:tc>
        <w:tc>
          <w:tcPr>
            <w:tcW w:type="dxa" w:w="1726"/>
          </w:tcPr>
          <w:p>
            <w:r>
              <w:t>Key finding (your own words)</w:t>
            </w:r>
          </w:p>
        </w:tc>
        <w:tc>
          <w:tcPr>
            <w:tcW w:type="dxa" w:w="1726"/>
          </w:tcPr>
          <w:p>
            <w:r>
              <w:t>Metric/value</w:t>
            </w:r>
          </w:p>
        </w:tc>
        <w:tc>
          <w:tcPr>
            <w:tcW w:type="dxa" w:w="1726"/>
          </w:tcPr>
          <w:p>
            <w:r>
              <w:t>Directionality</w:t>
            </w:r>
          </w:p>
        </w:tc>
        <w:tc>
          <w:tcPr>
            <w:tcW w:type="dxa" w:w="1726"/>
          </w:tcPr>
          <w:p>
            <w:r>
              <w:t>PDF section + page</w:t>
            </w:r>
          </w:p>
        </w:tc>
        <w:tc>
          <w:tcPr>
            <w:tcW w:type="dxa" w:w="1726"/>
          </w:tcPr>
          <w:p>
            <w:r>
              <w:t>Cognitive dimension</w:t>
            </w:r>
          </w:p>
        </w:tc>
      </w:tr>
      <w:tr>
        <w:tc>
          <w:tcPr>
            <w:tcW w:type="dxa" w:w="1726"/>
          </w:tcPr>
          <w:p>
            <w:r>
              <w:rPr>
                <w:sz w:val="12"/>
              </w:rPr>
              <w:t>mozannar_reading_2024</w:t>
            </w:r>
          </w:p>
        </w:tc>
        <w:tc>
          <w:tcPr>
            <w:tcW w:type="dxa" w:w="1726"/>
          </w:tcPr>
          <w:p>
            <w:r>
              <w:rPr>
                <w:sz w:val="12"/>
              </w:rPr>
              <w:t>NB3</w:t>
            </w:r>
          </w:p>
        </w:tc>
        <w:tc>
          <w:tcPr>
            <w:tcW w:type="dxa" w:w="1726"/>
          </w:tcPr>
          <w:p>
            <w:r>
              <w:rPr>
                <w:sz w:val="12"/>
              </w:rPr>
              <w:t>A1</w:t>
            </w:r>
          </w:p>
        </w:tc>
        <w:tc>
          <w:tcPr>
            <w:tcW w:type="dxa" w:w="1726"/>
          </w:tcPr>
          <w:p>
            <w:r>
              <w:rPr>
                <w:sz w:val="12"/>
              </w:rPr>
              <w:t>Cross-corpus evidence</w:t>
            </w:r>
          </w:p>
        </w:tc>
        <w:tc>
          <w:tcPr>
            <w:tcW w:type="dxa" w:w="1726"/>
          </w:tcPr>
          <w:p>
            <w:r>
              <w:rPr>
                <w:sz w:val="12"/>
              </w:rPr>
              <w:t>51.5% del tiempo se dedica a actividades relacionadas con AI; 22.4% del tiempo se dedica a verificar sugerencias; La interacción incluye múltiples estados (CUPS), no solo aceptar/rechazar; La verificación ocurre incluso después de aceptar c</w:t>
            </w:r>
          </w:p>
        </w:tc>
        <w:tc>
          <w:tcPr>
            <w:tcW w:type="dxa" w:w="1726"/>
          </w:tcPr>
          <w:p>
            <w:r>
              <w:rPr>
                <w:sz w:val="12"/>
              </w:rPr>
              <w:t>Time spent per interaction state (CUPS), Suggestion acceptance rate (~34%), Time in AI-related activities (~51.5%), Veri</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attention allocation / metacognition</w:t>
            </w:r>
          </w:p>
        </w:tc>
      </w:tr>
      <w:tr>
        <w:tc>
          <w:tcPr>
            <w:tcW w:type="dxa" w:w="1726"/>
          </w:tcPr>
          <w:p>
            <w:r>
              <w:rPr>
                <w:sz w:val="12"/>
              </w:rPr>
              <w:t>qiao_comprehension-performance_2025</w:t>
            </w:r>
          </w:p>
        </w:tc>
        <w:tc>
          <w:tcPr>
            <w:tcW w:type="dxa" w:w="1726"/>
          </w:tcPr>
          <w:p>
            <w:r>
              <w:rPr>
                <w:sz w:val="12"/>
              </w:rPr>
              <w:t>NB3</w:t>
            </w:r>
          </w:p>
        </w:tc>
        <w:tc>
          <w:tcPr>
            <w:tcW w:type="dxa" w:w="1726"/>
          </w:tcPr>
          <w:p>
            <w:r>
              <w:rPr>
                <w:sz w:val="12"/>
              </w:rPr>
              <w:t>A1</w:t>
            </w:r>
          </w:p>
        </w:tc>
        <w:tc>
          <w:tcPr>
            <w:tcW w:type="dxa" w:w="1726"/>
          </w:tcPr>
          <w:p>
            <w:r>
              <w:rPr>
                <w:sz w:val="12"/>
              </w:rPr>
              <w:t>Cross-corpus evidence</w:t>
            </w:r>
          </w:p>
        </w:tc>
        <w:tc>
          <w:tcPr>
            <w:tcW w:type="dxa" w:w="1726"/>
          </w:tcPr>
          <w:p>
            <w:r>
              <w:rPr>
                <w:sz w:val="12"/>
              </w:rPr>
              <w:t>Comprehension-performance gap</w:t>
            </w:r>
          </w:p>
        </w:tc>
        <w:tc>
          <w:tcPr>
            <w:tcW w:type="dxa" w:w="1726"/>
          </w:tcPr>
          <w:p>
            <w:r>
              <w:rPr>
                <w:sz w:val="12"/>
              </w:rPr>
              <w:t>Tiempo,tests,comprensión</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comprehension / skill development</w:t>
            </w:r>
          </w:p>
        </w:tc>
      </w:tr>
      <w:tr>
        <w:tc>
          <w:tcPr>
            <w:tcW w:type="dxa" w:w="1726"/>
          </w:tcPr>
          <w:p>
            <w:r>
              <w:rPr>
                <w:sz w:val="12"/>
              </w:rPr>
              <w:t>kazemitabaar_how_2023</w:t>
            </w:r>
          </w:p>
        </w:tc>
        <w:tc>
          <w:tcPr>
            <w:tcW w:type="dxa" w:w="1726"/>
          </w:tcPr>
          <w:p>
            <w:r>
              <w:rPr>
                <w:sz w:val="12"/>
              </w:rPr>
              <w:t>NB5</w:t>
            </w:r>
          </w:p>
        </w:tc>
        <w:tc>
          <w:tcPr>
            <w:tcW w:type="dxa" w:w="1726"/>
          </w:tcPr>
          <w:p>
            <w:r>
              <w:rPr>
                <w:sz w:val="12"/>
              </w:rPr>
              <w:t>A1</w:t>
            </w:r>
          </w:p>
        </w:tc>
        <w:tc>
          <w:tcPr>
            <w:tcW w:type="dxa" w:w="1726"/>
          </w:tcPr>
          <w:p>
            <w:r>
              <w:rPr>
                <w:sz w:val="12"/>
              </w:rPr>
              <w:t>Primary NB5 evidence</w:t>
            </w:r>
          </w:p>
        </w:tc>
        <w:tc>
          <w:tcPr>
            <w:tcW w:type="dxa" w:w="1726"/>
          </w:tcPr>
          <w:p>
            <w:r>
              <w:rPr>
                <w:sz w:val="12"/>
              </w:rPr>
              <w:t>Codex</w:t>
            </w:r>
          </w:p>
        </w:tc>
        <w:tc>
          <w:tcPr>
            <w:tcW w:type="dxa" w:w="1726"/>
          </w:tcPr>
          <w:p>
            <w:r>
              <w:rPr>
                <w:sz w:val="12"/>
              </w:rPr>
              <w:t>33 estudiantes, 1666 interacciones</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mellado_rafael_can_2025</w:t>
            </w:r>
          </w:p>
        </w:tc>
        <w:tc>
          <w:tcPr>
            <w:tcW w:type="dxa" w:w="1726"/>
          </w:tcPr>
          <w:p>
            <w:r>
              <w:rPr>
                <w:sz w:val="12"/>
              </w:rPr>
              <w:t>NB5</w:t>
            </w:r>
          </w:p>
        </w:tc>
        <w:tc>
          <w:tcPr>
            <w:tcW w:type="dxa" w:w="1726"/>
          </w:tcPr>
          <w:p>
            <w:r>
              <w:rPr>
                <w:sz w:val="12"/>
              </w:rPr>
              <w:t>A2</w:t>
            </w:r>
          </w:p>
        </w:tc>
        <w:tc>
          <w:tcPr>
            <w:tcW w:type="dxa" w:w="1726"/>
          </w:tcPr>
          <w:p>
            <w:r>
              <w:rPr>
                <w:sz w:val="12"/>
              </w:rPr>
              <w:t>Primary NB5 evidence</w:t>
            </w:r>
          </w:p>
        </w:tc>
        <w:tc>
          <w:tcPr>
            <w:tcW w:type="dxa" w:w="1726"/>
          </w:tcPr>
          <w:p>
            <w:r>
              <w:rPr>
                <w:sz w:val="12"/>
              </w:rPr>
              <w:t>Videos generan mayor aprendizaje, curiosidad e intención de uso.</w:t>
            </w:r>
          </w:p>
        </w:tc>
        <w:tc>
          <w:tcPr>
            <w:tcW w:type="dxa" w:w="1726"/>
          </w:tcPr>
          <w:p>
            <w:r>
              <w:rPr>
                <w:sz w:val="12"/>
              </w:rPr>
              <w:t>Learning gain, HMSAM constructs, intención de uso</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comprehension / skill development</w:t>
            </w:r>
          </w:p>
        </w:tc>
      </w:tr>
      <w:tr>
        <w:tc>
          <w:tcPr>
            <w:tcW w:type="dxa" w:w="1726"/>
          </w:tcPr>
          <w:p>
            <w:r>
              <w:rPr>
                <w:sz w:val="12"/>
              </w:rPr>
              <w:t>wang_rocks_2024</w:t>
            </w:r>
          </w:p>
        </w:tc>
        <w:tc>
          <w:tcPr>
            <w:tcW w:type="dxa" w:w="1726"/>
          </w:tcPr>
          <w:p>
            <w:r>
              <w:rPr>
                <w:sz w:val="12"/>
              </w:rPr>
              <w:t>NB5</w:t>
            </w:r>
          </w:p>
        </w:tc>
        <w:tc>
          <w:tcPr>
            <w:tcW w:type="dxa" w:w="1726"/>
          </w:tcPr>
          <w:p>
            <w:r>
              <w:rPr>
                <w:sz w:val="12"/>
              </w:rPr>
              <w:t>A2</w:t>
            </w:r>
          </w:p>
        </w:tc>
        <w:tc>
          <w:tcPr>
            <w:tcW w:type="dxa" w:w="1726"/>
          </w:tcPr>
          <w:p>
            <w:r>
              <w:rPr>
                <w:sz w:val="12"/>
              </w:rPr>
              <w:t>Primary NB5 evidence</w:t>
            </w:r>
          </w:p>
        </w:tc>
        <w:tc>
          <w:tcPr>
            <w:tcW w:type="dxa" w:w="1726"/>
          </w:tcPr>
          <w:p>
            <w:r>
              <w:rPr>
                <w:sz w:val="12"/>
              </w:rPr>
              <w:t>LLMs ayudan en coding pero no en desarrollo real</w:t>
            </w:r>
          </w:p>
        </w:tc>
        <w:tc>
          <w:tcPr>
            <w:tcW w:type="dxa" w:w="1726"/>
          </w:tcPr>
          <w:p>
            <w:r>
              <w:rPr>
                <w:sz w:val="12"/>
              </w:rPr>
              <w:t>Tiempo, calidad, carga cognitiva</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meem_investigating_2025</w:t>
            </w:r>
          </w:p>
        </w:tc>
        <w:tc>
          <w:tcPr>
            <w:tcW w:type="dxa" w:w="1726"/>
          </w:tcPr>
          <w:p>
            <w:r>
              <w:rPr>
                <w:sz w:val="12"/>
              </w:rPr>
              <w:t>NB5</w:t>
            </w:r>
          </w:p>
        </w:tc>
        <w:tc>
          <w:tcPr>
            <w:tcW w:type="dxa" w:w="1726"/>
          </w:tcPr>
          <w:p>
            <w:r>
              <w:rPr>
                <w:sz w:val="12"/>
              </w:rPr>
              <w:t>A2</w:t>
            </w:r>
          </w:p>
        </w:tc>
        <w:tc>
          <w:tcPr>
            <w:tcW w:type="dxa" w:w="1726"/>
          </w:tcPr>
          <w:p>
            <w:r>
              <w:rPr>
                <w:sz w:val="12"/>
              </w:rPr>
              <w:t>Primary NB5 evidence</w:t>
            </w:r>
          </w:p>
        </w:tc>
        <w:tc>
          <w:tcPr>
            <w:tcW w:type="dxa" w:w="1726"/>
          </w:tcPr>
          <w:p>
            <w:r>
              <w:rPr>
                <w:sz w:val="12"/>
              </w:rPr>
              <w:t>Reports indicate dual effects: AI can make some tasks easier but may increase expectations, mental demand, overload and work-life boundary erosion; organizational support and responsible integration are important.</w:t>
            </w:r>
          </w:p>
        </w:tc>
        <w:tc>
          <w:tcPr>
            <w:tcW w:type="dxa" w:w="1726"/>
          </w:tcPr>
          <w:p>
            <w:r>
              <w:rPr>
                <w:sz w:val="12"/>
              </w:rPr>
              <w:t>Self-reported cognitive overload, fatigue, burnout, work-life boundary effects, perceived productivity/stress; qualitati</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stress / wellbeing</w:t>
            </w:r>
          </w:p>
        </w:tc>
      </w:tr>
      <w:tr>
        <w:tc>
          <w:tcPr>
            <w:tcW w:type="dxa" w:w="1726"/>
          </w:tcPr>
          <w:p>
            <w:r>
              <w:rPr>
                <w:sz w:val="12"/>
              </w:rPr>
              <w:t>gardella_performance_2024</w:t>
            </w:r>
          </w:p>
        </w:tc>
        <w:tc>
          <w:tcPr>
            <w:tcW w:type="dxa" w:w="1726"/>
          </w:tcPr>
          <w:p>
            <w:r>
              <w:rPr>
                <w:sz w:val="12"/>
              </w:rPr>
              <w:t>NB3</w:t>
            </w:r>
          </w:p>
        </w:tc>
        <w:tc>
          <w:tcPr>
            <w:tcW w:type="dxa" w:w="1726"/>
          </w:tcPr>
          <w:p>
            <w:r>
              <w:rPr>
                <w:sz w:val="12"/>
              </w:rPr>
              <w:t>A2</w:t>
            </w:r>
          </w:p>
        </w:tc>
        <w:tc>
          <w:tcPr>
            <w:tcW w:type="dxa" w:w="1726"/>
          </w:tcPr>
          <w:p>
            <w:r>
              <w:rPr>
                <w:sz w:val="12"/>
              </w:rPr>
              <w:t>Cross-corpus evidence</w:t>
            </w:r>
          </w:p>
        </w:tc>
        <w:tc>
          <w:tcPr>
            <w:tcW w:type="dxa" w:w="1726"/>
          </w:tcPr>
          <w:p>
            <w:r>
              <w:rPr>
                <w:sz w:val="12"/>
              </w:rPr>
              <w:t>Menor esfuerzo y mejora leve</w:t>
            </w:r>
          </w:p>
        </w:tc>
        <w:tc>
          <w:tcPr>
            <w:tcW w:type="dxa" w:w="1726"/>
          </w:tcPr>
          <w:p>
            <w:r>
              <w:rPr>
                <w:sz w:val="12"/>
              </w:rPr>
              <w:t>NASA-TLX,performance</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cognitive load / mental effort</w:t>
            </w:r>
          </w:p>
        </w:tc>
      </w:tr>
      <w:tr>
        <w:tc>
          <w:tcPr>
            <w:tcW w:type="dxa" w:w="1726"/>
          </w:tcPr>
          <w:p>
            <w:r>
              <w:rPr>
                <w:sz w:val="12"/>
              </w:rPr>
              <w:t>jost_impact_2024</w:t>
            </w:r>
          </w:p>
        </w:tc>
        <w:tc>
          <w:tcPr>
            <w:tcW w:type="dxa" w:w="1726"/>
          </w:tcPr>
          <w:p>
            <w:r>
              <w:rPr>
                <w:sz w:val="12"/>
              </w:rPr>
              <w:t>NB5</w:t>
            </w:r>
          </w:p>
        </w:tc>
        <w:tc>
          <w:tcPr>
            <w:tcW w:type="dxa" w:w="1726"/>
          </w:tcPr>
          <w:p>
            <w:r>
              <w:rPr>
                <w:sz w:val="12"/>
              </w:rPr>
              <w:t>A2</w:t>
            </w:r>
          </w:p>
        </w:tc>
        <w:tc>
          <w:tcPr>
            <w:tcW w:type="dxa" w:w="1726"/>
          </w:tcPr>
          <w:p>
            <w:r>
              <w:rPr>
                <w:sz w:val="12"/>
              </w:rPr>
              <w:t>Primary NB5 evidence</w:t>
            </w:r>
          </w:p>
        </w:tc>
        <w:tc>
          <w:tcPr>
            <w:tcW w:type="dxa" w:w="1726"/>
          </w:tcPr>
          <w:p>
            <w:r>
              <w:rPr>
                <w:sz w:val="12"/>
              </w:rPr>
              <w:t>Mayor dependencia en code generation/debugging se asoció con calificaciones más bajas; pedir explicaciones tuvo impacto negativo menor/no significativo; se recomienda integración balanceada.</w:t>
            </w:r>
          </w:p>
        </w:tc>
        <w:tc>
          <w:tcPr>
            <w:tcW w:type="dxa" w:w="1726"/>
          </w:tcPr>
          <w:p>
            <w:r>
              <w:rPr>
                <w:sz w:val="12"/>
              </w:rPr>
              <w:t>Final grades, LLM usage frequency, Spearman correlation, bootstrap confidence intervals, self-reported usage patterns.</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rahe_how_2025</w:t>
            </w:r>
          </w:p>
        </w:tc>
        <w:tc>
          <w:tcPr>
            <w:tcW w:type="dxa" w:w="1726"/>
          </w:tcPr>
          <w:p>
            <w:r>
              <w:rPr>
                <w:sz w:val="12"/>
              </w:rPr>
              <w:t>NB4</w:t>
            </w:r>
          </w:p>
        </w:tc>
        <w:tc>
          <w:tcPr>
            <w:tcW w:type="dxa" w:w="1726"/>
          </w:tcPr>
          <w:p>
            <w:r>
              <w:rPr>
                <w:sz w:val="12"/>
              </w:rPr>
              <w:t>A1</w:t>
            </w:r>
          </w:p>
        </w:tc>
        <w:tc>
          <w:tcPr>
            <w:tcW w:type="dxa" w:w="1726"/>
          </w:tcPr>
          <w:p>
            <w:r>
              <w:rPr>
                <w:sz w:val="12"/>
              </w:rPr>
              <w:t>Cross-corpus evidence</w:t>
            </w:r>
          </w:p>
        </w:tc>
        <w:tc>
          <w:tcPr>
            <w:tcW w:type="dxa" w:w="1726"/>
          </w:tcPr>
          <w:p>
            <w:r>
              <w:rPr>
                <w:sz w:val="12"/>
              </w:rPr>
              <w:t>62% prompts codegen; 8.8% accuracy; 54% copia directa; ciclo improductivo</w:t>
            </w:r>
          </w:p>
        </w:tc>
        <w:tc>
          <w:tcPr>
            <w:tcW w:type="dxa" w:w="1726"/>
          </w:tcPr>
          <w:p>
            <w:r>
              <w:rPr>
                <w:sz w:val="12"/>
              </w:rPr>
              <w:t>Prompt analysis, correctness, similarity, behavior logs</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attention allocation / metacognition</w:t>
            </w:r>
          </w:p>
        </w:tc>
      </w:tr>
      <w:tr>
        <w:tc>
          <w:tcPr>
            <w:tcW w:type="dxa" w:w="1726"/>
          </w:tcPr>
          <w:p>
            <w:r>
              <w:rPr>
                <w:sz w:val="12"/>
              </w:rPr>
              <w:t>santos_model-assisted_2025</w:t>
            </w:r>
          </w:p>
        </w:tc>
        <w:tc>
          <w:tcPr>
            <w:tcW w:type="dxa" w:w="1726"/>
          </w:tcPr>
          <w:p>
            <w:r>
              <w:rPr>
                <w:sz w:val="12"/>
              </w:rPr>
              <w:t>NB3</w:t>
            </w:r>
          </w:p>
        </w:tc>
        <w:tc>
          <w:tcPr>
            <w:tcW w:type="dxa" w:w="1726"/>
          </w:tcPr>
          <w:p>
            <w:r>
              <w:rPr>
                <w:sz w:val="12"/>
              </w:rPr>
              <w:t>A2</w:t>
            </w:r>
          </w:p>
        </w:tc>
        <w:tc>
          <w:tcPr>
            <w:tcW w:type="dxa" w:w="1726"/>
          </w:tcPr>
          <w:p>
            <w:r>
              <w:rPr>
                <w:sz w:val="12"/>
              </w:rPr>
              <w:t>Cross-corpus evidence</w:t>
            </w:r>
          </w:p>
        </w:tc>
        <w:tc>
          <w:tcPr>
            <w:tcW w:type="dxa" w:w="1726"/>
          </w:tcPr>
          <w:p>
            <w:r>
              <w:rPr>
                <w:sz w:val="12"/>
              </w:rPr>
              <w:t>83% modify generated code, 66% seek explanations, 55% brainstorm while coding manually, and only 36% directly copy-paste generated code. Most developers reject production use without review.</w:t>
            </w:r>
          </w:p>
        </w:tc>
        <w:tc>
          <w:tcPr>
            <w:tcW w:type="dxa" w:w="1726"/>
          </w:tcPr>
          <w:p>
            <w:r>
              <w:rPr>
                <w:sz w:val="12"/>
              </w:rPr>
              <w:t>Survey frequencies, perceived effectiveness, usage categories, thematic analysis, production-without-review comfort leve</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hicks_new_2024</w:t>
            </w:r>
          </w:p>
        </w:tc>
        <w:tc>
          <w:tcPr>
            <w:tcW w:type="dxa" w:w="1726"/>
          </w:tcPr>
          <w:p>
            <w:r>
              <w:rPr>
                <w:sz w:val="12"/>
              </w:rPr>
              <w:t>NB3</w:t>
            </w:r>
          </w:p>
        </w:tc>
        <w:tc>
          <w:tcPr>
            <w:tcW w:type="dxa" w:w="1726"/>
          </w:tcPr>
          <w:p>
            <w:r>
              <w:rPr>
                <w:sz w:val="12"/>
              </w:rPr>
              <w:t>A1</w:t>
            </w:r>
          </w:p>
        </w:tc>
        <w:tc>
          <w:tcPr>
            <w:tcW w:type="dxa" w:w="1726"/>
          </w:tcPr>
          <w:p>
            <w:r>
              <w:rPr>
                <w:sz w:val="12"/>
              </w:rPr>
              <w:t>Cross-corpus evidence</w:t>
            </w:r>
          </w:p>
        </w:tc>
        <w:tc>
          <w:tcPr>
            <w:tcW w:type="dxa" w:w="1726"/>
          </w:tcPr>
          <w:p>
            <w:r>
              <w:rPr>
                <w:sz w:val="12"/>
              </w:rPr>
              <w:t>45% ansiedad; 74% upskilling</w:t>
            </w:r>
          </w:p>
        </w:tc>
        <w:tc>
          <w:tcPr>
            <w:tcW w:type="dxa" w:w="1726"/>
          </w:tcPr>
          <w:p>
            <w:r>
              <w:rPr>
                <w:sz w:val="12"/>
              </w:rPr>
              <w:t>trust, productivity perception</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takerngsaksiri_students_2024</w:t>
            </w:r>
          </w:p>
        </w:tc>
        <w:tc>
          <w:tcPr>
            <w:tcW w:type="dxa" w:w="1726"/>
          </w:tcPr>
          <w:p>
            <w:r>
              <w:rPr>
                <w:sz w:val="12"/>
              </w:rPr>
              <w:t>NB4</w:t>
            </w:r>
          </w:p>
        </w:tc>
        <w:tc>
          <w:tcPr>
            <w:tcW w:type="dxa" w:w="1726"/>
          </w:tcPr>
          <w:p>
            <w:r>
              <w:rPr>
                <w:sz w:val="12"/>
              </w:rPr>
              <w:t>A2</w:t>
            </w:r>
          </w:p>
        </w:tc>
        <w:tc>
          <w:tcPr>
            <w:tcW w:type="dxa" w:w="1726"/>
          </w:tcPr>
          <w:p>
            <w:r>
              <w:rPr>
                <w:sz w:val="12"/>
              </w:rPr>
              <w:t>Cross-corpus evidence</w:t>
            </w:r>
          </w:p>
        </w:tc>
        <w:tc>
          <w:tcPr>
            <w:tcW w:type="dxa" w:w="1726"/>
          </w:tcPr>
          <w:p>
            <w:r>
              <w:rPr>
                <w:sz w:val="12"/>
              </w:rPr>
              <w:t>AI completion increased perceived productivity and provided syntax help, alternatives, and tutoring; 90% raised overreliance concerns; explainability and best-practice guidance were key expectations.</w:t>
            </w:r>
          </w:p>
        </w:tc>
        <w:tc>
          <w:tcPr>
            <w:tcW w:type="dxa" w:w="1726"/>
          </w:tcPr>
          <w:p>
            <w:r>
              <w:rPr>
                <w:sz w:val="12"/>
              </w:rPr>
              <w:t>Grounded-theory codes/categories, percentage of students mentioning benefits/challenges/expectations, qualitative themes</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dibia_aligning_2023</w:t>
            </w:r>
          </w:p>
        </w:tc>
        <w:tc>
          <w:tcPr>
            <w:tcW w:type="dxa" w:w="1726"/>
          </w:tcPr>
          <w:p>
            <w:r>
              <w:rPr>
                <w:sz w:val="12"/>
              </w:rPr>
              <w:t>NB3</w:t>
            </w:r>
          </w:p>
        </w:tc>
        <w:tc>
          <w:tcPr>
            <w:tcW w:type="dxa" w:w="1726"/>
          </w:tcPr>
          <w:p>
            <w:r>
              <w:rPr>
                <w:sz w:val="12"/>
              </w:rPr>
              <w:t>A1</w:t>
            </w:r>
          </w:p>
        </w:tc>
        <w:tc>
          <w:tcPr>
            <w:tcW w:type="dxa" w:w="1726"/>
          </w:tcPr>
          <w:p>
            <w:r>
              <w:rPr>
                <w:sz w:val="12"/>
              </w:rPr>
              <w:t>Cross-corpus evidence</w:t>
            </w:r>
          </w:p>
        </w:tc>
        <w:tc>
          <w:tcPr>
            <w:tcW w:type="dxa" w:w="1726"/>
          </w:tcPr>
          <w:p>
            <w:r>
              <w:rPr>
                <w:sz w:val="12"/>
              </w:rPr>
              <w:t>A substantial portion of functionally incorrect generations were still valued by developers; effort correlated strongly with perceived value; hybrid metrics aligned better with human judgments.</w:t>
            </w:r>
          </w:p>
        </w:tc>
        <w:tc>
          <w:tcPr>
            <w:tcW w:type="dxa" w:w="1726"/>
          </w:tcPr>
          <w:p>
            <w:r>
              <w:rPr>
                <w:sz w:val="12"/>
              </w:rPr>
              <w:t>Human value judgments, effort, perceived accuracy, pass rate, edit similarity, correlation coefficients, PASS + EDIT-SIM</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task performance</w:t>
            </w:r>
          </w:p>
        </w:tc>
      </w:tr>
      <w:tr>
        <w:tc>
          <w:tcPr>
            <w:tcW w:type="dxa" w:w="1726"/>
          </w:tcPr>
          <w:p>
            <w:r>
              <w:rPr>
                <w:sz w:val="12"/>
              </w:rPr>
              <w:t>otten_prompting_2026</w:t>
            </w:r>
          </w:p>
        </w:tc>
        <w:tc>
          <w:tcPr>
            <w:tcW w:type="dxa" w:w="1726"/>
          </w:tcPr>
          <w:p>
            <w:r>
              <w:rPr>
                <w:sz w:val="12"/>
              </w:rPr>
              <w:t>NB3</w:t>
            </w:r>
          </w:p>
        </w:tc>
        <w:tc>
          <w:tcPr>
            <w:tcW w:type="dxa" w:w="1726"/>
          </w:tcPr>
          <w:p>
            <w:r>
              <w:rPr>
                <w:sz w:val="12"/>
              </w:rPr>
              <w:t>A2</w:t>
            </w:r>
          </w:p>
        </w:tc>
        <w:tc>
          <w:tcPr>
            <w:tcW w:type="dxa" w:w="1726"/>
          </w:tcPr>
          <w:p>
            <w:r>
              <w:rPr>
                <w:sz w:val="12"/>
              </w:rPr>
              <w:t>Cross-corpus evidence</w:t>
            </w:r>
          </w:p>
        </w:tc>
        <w:tc>
          <w:tcPr>
            <w:tcW w:type="dxa" w:w="1726"/>
          </w:tcPr>
          <w:p>
            <w:r>
              <w:rPr>
                <w:sz w:val="12"/>
              </w:rPr>
              <w:t>Multi-turn prompting is common; code generation is broadly used; documentation is perceived as more reliable than debugging or complex code generation; advanced users integrate GenAI more deeply.</w:t>
            </w:r>
          </w:p>
        </w:tc>
        <w:tc>
          <w:tcPr>
            <w:tcW w:type="dxa" w:w="1726"/>
          </w:tcPr>
          <w:p>
            <w:r>
              <w:rPr>
                <w:sz w:val="12"/>
              </w:rPr>
              <w:t>Prompting technique frequency, task usage breadth, perceived reliability, proficiency/use correlations, qualitative them</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attention allocation / metacognition</w:t>
            </w:r>
          </w:p>
        </w:tc>
      </w:tr>
      <w:tr>
        <w:tc>
          <w:tcPr>
            <w:tcW w:type="dxa" w:w="1726"/>
          </w:tcPr>
          <w:p>
            <w:r>
              <w:rPr>
                <w:sz w:val="12"/>
              </w:rPr>
              <w:t>waseem_chatgpt_2024</w:t>
            </w:r>
          </w:p>
        </w:tc>
        <w:tc>
          <w:tcPr>
            <w:tcW w:type="dxa" w:w="1726"/>
          </w:tcPr>
          <w:p>
            <w:r>
              <w:rPr>
                <w:sz w:val="12"/>
              </w:rPr>
              <w:t>NB4</w:t>
            </w:r>
          </w:p>
        </w:tc>
        <w:tc>
          <w:tcPr>
            <w:tcW w:type="dxa" w:w="1726"/>
          </w:tcPr>
          <w:p>
            <w:r>
              <w:rPr>
                <w:sz w:val="12"/>
              </w:rPr>
              <w:t>A2</w:t>
            </w:r>
          </w:p>
        </w:tc>
        <w:tc>
          <w:tcPr>
            <w:tcW w:type="dxa" w:w="1726"/>
          </w:tcPr>
          <w:p>
            <w:r>
              <w:rPr>
                <w:sz w:val="12"/>
              </w:rPr>
              <w:t>Cross-corpus evidence</w:t>
            </w:r>
          </w:p>
        </w:tc>
        <w:tc>
          <w:tcPr>
            <w:tcW w:type="dxa" w:w="1726"/>
          </w:tcPr>
          <w:p>
            <w:r>
              <w:rPr>
                <w:sz w:val="12"/>
              </w:rPr>
              <w:t>Students reported positive impact across SDLC phases, enhanced requirement clarity, coding/testing support, learning gains and skill development; limitations include design oversimplification, dependency risk and varied unique insights.</w:t>
            </w:r>
          </w:p>
        </w:tc>
        <w:tc>
          <w:tcPr>
            <w:tcW w:type="dxa" w:w="1726"/>
          </w:tcPr>
          <w:p>
            <w:r>
              <w:rPr>
                <w:sz w:val="12"/>
              </w:rPr>
              <w:t xml:space="preserve">Entry/exit surveys; Likert-scale perceptions; descriptive statistics; open coding; perceived effectiveness, advantages, </w:t>
            </w:r>
          </w:p>
        </w:tc>
        <w:tc>
          <w:tcPr>
            <w:tcW w:type="dxa" w:w="1726"/>
          </w:tcPr>
          <w:p>
            <w:r>
              <w:rPr>
                <w:sz w:val="12"/>
              </w:rPr>
              <w:t>Routine offloading, complex-task redistribution, or qualified cognitive risk</w:t>
            </w:r>
          </w:p>
        </w:tc>
        <w:tc>
          <w:tcPr>
            <w:tcW w:type="dxa" w:w="1726"/>
          </w:tcPr>
          <w:p>
            <w:r>
              <w:rPr>
                <w:sz w:val="12"/>
              </w:rPr>
              <w:t>Results/Findings/Discussion; page verification required</w:t>
            </w:r>
          </w:p>
        </w:tc>
        <w:tc>
          <w:tcPr>
            <w:tcW w:type="dxa" w:w="1726"/>
          </w:tcPr>
          <w:p>
            <w:r>
              <w:rPr>
                <w:sz w:val="12"/>
              </w:rPr>
              <w:t>comprehension / skill development</w:t>
            </w:r>
          </w:p>
        </w:tc>
      </w:tr>
    </w:tbl>
    <w:p>
      <w:pPr>
        <w:pStyle w:val="Heading1"/>
      </w:pPr>
      <w:r>
        <w:t>2. Analytical narrative</w:t>
      </w:r>
    </w:p>
    <w:p>
      <w:pPr>
        <w:jc w:val="both"/>
      </w:pPr>
      <w:r>
        <w:t>AI-assisted programming does not simply lower Cognitive Load; it changes where cognitive work is located. The strongest evidence shows routine offloading when tasks are bounded, repetitive, and externally checkable. In these settings, developers can use assistants to generate first drafts, examples, explanations, or candidate solutions, reducing syntax search and mechanical production. Novice and educational studies show that code generators can help users move through CS tasks and produce workable artefacts, but this advantage remains conditional on verification and task fit [1] [2].</w:t>
      </w:r>
    </w:p>
    <w:p>
      <w:pPr>
        <w:jc w:val="both"/>
      </w:pPr>
      <w:r>
        <w:t>For complex tasks, the dominant pattern is cognitive-load redistribution. Human effort shifts from writing code to framing requests, reading suggestions, monitoring correctness, and integrating outputs into a project. Interaction-trace evidence is especially strong: AI-related activities occupy a substantial share of programming time, and verification continues even after code is accepted [3]. Practitioner evidence similarly shows that developers frequently modify generated code, seek explanations, brainstorm alternatives, and reject production use without review [4].</w:t>
      </w:r>
    </w:p>
    <w:p>
      <w:pPr>
        <w:jc w:val="both"/>
      </w:pPr>
      <w:r>
        <w:t>This redistribution explains why speed and cognitive benefit must not be conflated. Human-centric task studies report that assistance can help with coding while offering weaker support for broader development work, where requirements, context, and design constraints matter [5]. Prompting studies reinforce the same point: effective use requires multi-turn clarification, task decomposition, and judgement about when generated material is reliable [6].</w:t>
      </w:r>
    </w:p>
    <w:p>
      <w:pPr>
        <w:jc w:val="both"/>
      </w:pPr>
      <w:r>
        <w:t>The comprehension-performance gap is the central risk. AI can enable task completion without proportional understanding. Brownfield programming evidence explicitly identifies a gap between successful performance and comprehension [7]. Educational evidence is consistent with that warning: structured self-instruction can outperform generative assistance for learning, motivation, and knowledge acquisition, meaning that apparent fluency may conceal weak conceptual development [8].</w:t>
      </w:r>
    </w:p>
    <w:p>
      <w:pPr>
        <w:jc w:val="both"/>
      </w:pPr>
      <w:r>
        <w:t>Individual factors moderate the outcome. Novices, students, and less confident users may gain local support but also face greater risk of dependency, shallow understanding, and difficulty judging incorrect outputs. Student-facing evidence reports concerns about over-reliance and the need for explainability and best-practice guidance [9]. Studies of programming students using generative AI also show that direct copying and low-correctness interactions can produce unproductive cycles when metacognitive control is weak [10].</w:t>
      </w:r>
    </w:p>
    <w:p>
      <w:pPr>
        <w:jc w:val="both"/>
      </w:pPr>
      <w:r>
        <w:t>Experience and self-efficacy shape whether AI becomes a scaffold or a distraction. Evidence on novice programmers links AI code generation with workload, emotion, and self-efficacy outcomes, suggesting that mental effort cannot be separated from confidence and perceived capability [2]. Human-judgement studies further show that developers may value even functionally incorrect generations when they reduce effort or provide a useful starting point, which confirms that perceived cognitive value differs from objective correctness [11].</w:t>
      </w:r>
    </w:p>
    <w:p>
      <w:pPr>
        <w:jc w:val="both"/>
      </w:pPr>
      <w:r>
        <w:t>Wellbeing evidence is smaller but important. Survey evidence on software practitioners indicates dual effects: AI can make some tasks easier, but it can also increase mental demand, overload, fatigue, and work-life boundary erosion [12]. Large-scale evidence on developer identity adds that AI adoption is accompanied by anxiety, perceived skill threat, and upskilling pressure, so wellbeing claims must include both relief and stress [13].</w:t>
      </w:r>
    </w:p>
    <w:p>
      <w:pPr>
        <w:jc w:val="both"/>
      </w:pPr>
      <w:r>
        <w:t>Overall, the Cognitive Load dimension supports a socio-technical interpretation. AI tools reduce burden where work is routine and validation is available, but they redistribute effort in complex work towards supervision, verification, and metacognitive control. They can improve task flow, but they can also widen the gap between completion and comprehension. The practical implication is that cognitive benefit depends on task structure, user expertise, and the availability of robust review practices [14] [15].</w:t>
      </w:r>
    </w:p>
    <w:p>
      <w:pPr>
        <w:pStyle w:val="Heading1"/>
      </w:pPr>
      <w:r>
        <w:t>3. Dimension summary</w:t>
      </w:r>
    </w:p>
    <w:p>
      <w:r>
        <w:t>The strongest Cognitive Load claim is that AI assistance reduces routine load when tasks are predictable, bounded, and externally verifiable (high confidence). The second is that complex software-engineering work shows load redistribution rather than simple reduction: developers trade drafting effort for prompt design, monitoring, validation, and integration work (high confidence). The third is that performance gains can coexist with weak comprehension or skill acquisition, especially for novices and learning contexts (moderate-to-high confidence). Evidence on wellbeing and stress is promising but less mature, so those claims should be framed cautiously.</w:t>
      </w:r>
    </w:p>
    <w:p>
      <w:pPr>
        <w:pStyle w:val="Heading1"/>
      </w:pPr>
      <w:r>
        <w:t>4. References</w:t>
      </w:r>
    </w:p>
    <w:p>
      <w:r>
        <w:t>[1] How Novices Use LLM-based Code Generators to Solve CS1 Coding Tasks in a Self-Paced Learning Environment. Kazemitabaar et al. (2023/2024), 2025. Bibkey: kazemitabaar_how_2023.</w:t>
      </w:r>
    </w:p>
    <w:p>
      <w:r>
        <w:t>[2] Performance, Workload, Emotion, and Self-Efficacy of Novice Programmers Using AI Code Generation. Gardella et al., 2024. Bibkey: gardella_performance_2024.</w:t>
      </w:r>
    </w:p>
    <w:p>
      <w:r>
        <w:t>[3] Reading Between the Lines: Modeling User Behavior and Costs in AI-Assisted Programming. Mozannar et al., 2024. Bibkey: mozannar_reading_2024.</w:t>
      </w:r>
    </w:p>
    <w:p>
      <w:r>
        <w:t>[4] Model-Assisted and Human-Guided: Perceptions and Practices of Software Professionals Using LLMs for Coding. Santos et al., 2025. Bibkey: santos_model-assisted_2025.</w:t>
      </w:r>
    </w:p>
    <w:p>
      <w:r>
        <w:t>[5] Rocks Coding, Not Development: A Human-Centric, Experimental Evaluation of LLM-Supported SE Tasks. Wang et al., 2024. Bibkey: wang_rocks_2024.</w:t>
      </w:r>
    </w:p>
    <w:p>
      <w:r>
        <w:t>[6] Prompting in Practice: Investigating Software Practitioners' Use of Generative AI Tools. Otten et al., 2026. Bibkey: otten_prompting_2026.</w:t>
      </w:r>
    </w:p>
    <w:p>
      <w:r>
        <w:t>[7] Comprehension-Performance Gap in GenAI-Assisted Brownfield Programming: A Replication and Extension. Qiao et al., 2025. Bibkey: qiao_comprehension-performance_2025.</w:t>
      </w:r>
    </w:p>
    <w:p>
      <w:r>
        <w:t>[8] Can Generative Artificial Intelligence Outperform Self-Instructional Learning in Computer Programming?: Impact on Motivation and Knowledge Acquisition. Mellado &amp; Cubillos, 2025. Bibkey: mellado_rafael_can_2025.</w:t>
      </w:r>
    </w:p>
    <w:p>
      <w:r>
        <w:t>[9] Students' Perspectives on AI Code Completion: Benefits and Challenges. Takerngsaksiri et al., 2024. Bibkey: takerngsaksiri_students_2024.</w:t>
      </w:r>
    </w:p>
    <w:p>
      <w:r>
        <w:t>[10] How Do Programming Students Use Generative AI?. Rahe &amp; Maalej, 2025. Bibkey: rahe_how_2025.</w:t>
      </w:r>
    </w:p>
    <w:p>
      <w:r>
        <w:t>[11] Aligning Offline Metrics and Human Judgments of Value for Code Generation Models. Dibia et al., 2023. Bibkey: dibia_aligning_2023.</w:t>
      </w:r>
    </w:p>
    <w:p>
      <w:r>
        <w:t>[12] Investigating the Impact of AI-Assisted Tools on Software Practitioner Well-Being. Meem and Johnson, 2025. Bibkey: meem_investigating_2025.</w:t>
      </w:r>
    </w:p>
    <w:p>
      <w:r>
        <w:t>[13] The New Developer: AI Skill Threat, Identity Change &amp;amp;amp; Developer Thriving in the Transition to AI-Assisted Software Development. Hicks et al., 2024. Bibkey: hicks_new_2024.</w:t>
      </w:r>
    </w:p>
    <w:p>
      <w:r>
        <w:t>[14] The Impact of Large Language Models on Programming Education and Student Learning Outcomes. Jošt et al., 2024. Bibkey: jost_impact_2024.</w:t>
      </w:r>
    </w:p>
    <w:p>
      <w:r>
        <w:t>[15] ChatGPT as a Software Development Bot: A Project-based Study. Waseem et al., 2024. Bibkey: waseem_chatgpt_2024.</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