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ohqt76bkesfm" w:id="0"/>
      <w:bookmarkEnd w:id="0"/>
      <w:r w:rsidDel="00000000" w:rsidR="00000000" w:rsidRPr="00000000">
        <w:rPr>
          <w:rtl w:val="0"/>
        </w:rPr>
        <w:t xml:space="preserve">The Sophistication Paradigm: A Professional Framework for Assessing AI-Generated Code Viability</w:t>
      </w:r>
    </w:p>
    <w:p w:rsidR="00000000" w:rsidDel="00000000" w:rsidP="00000000" w:rsidRDefault="00000000" w:rsidRPr="00000000" w14:paraId="00000002">
      <w:pPr>
        <w:pStyle w:val="Heading4"/>
        <w:rPr/>
      </w:pPr>
      <w:bookmarkStart w:colFirst="0" w:colLast="0" w:name="_qkd1cmsiouf2" w:id="1"/>
      <w:bookmarkEnd w:id="1"/>
      <w:r w:rsidDel="00000000" w:rsidR="00000000" w:rsidRPr="00000000">
        <w:rPr>
          <w:rtl w:val="0"/>
        </w:rPr>
        <w:t xml:space="preserve">1. The Paradigmatic Shift in Software Conception</w:t>
      </w:r>
    </w:p>
    <w:p w:rsidR="00000000" w:rsidDel="00000000" w:rsidP="00000000" w:rsidRDefault="00000000" w:rsidRPr="00000000" w14:paraId="00000003">
      <w:pPr>
        <w:rPr/>
      </w:pPr>
      <w:r w:rsidDel="00000000" w:rsidR="00000000" w:rsidRPr="00000000">
        <w:rPr>
          <w:rtl w:val="0"/>
        </w:rPr>
        <w:t xml:space="preserve">The integration of Large Language Models (LLMs) into the development lifecycle represents the most significant advance in software engineering since the advent of the IDE. This transition fundamentally redefines the developer’s mandate: we are pivoting from manual implementation—line-by-line syntax construction—to a high-level function of architectural oversight and validation efficacy. As autonomous generation becomes the engine of the engineering stack, the strategic challenge for leadership is no longer the velocity of generation, but the verification of structural integrity.Historically, coding assistants evolved from rigid pattern-matching tools to deep-learning architectures capable of inferring complex intent. However, the "black box" nature of these models introduces a high-risk profile where functional correctness is often decoupled from structural health. We must move beyond rudimentary benchmarks like HumanEval and pivot our engineering KPIs to include rigorous structural metrics. Functional correctness is merely the baseline; production-grade reliability is defined by the internal logic structures that underpin long-term viability.</w:t>
      </w:r>
    </w:p>
    <w:p w:rsidR="00000000" w:rsidDel="00000000" w:rsidP="00000000" w:rsidRDefault="00000000" w:rsidRPr="00000000" w14:paraId="00000004">
      <w:pPr>
        <w:pStyle w:val="Heading4"/>
        <w:rPr/>
      </w:pPr>
      <w:bookmarkStart w:colFirst="0" w:colLast="0" w:name="_de4mluxm21zq" w:id="2"/>
      <w:bookmarkEnd w:id="2"/>
      <w:r w:rsidDel="00000000" w:rsidR="00000000" w:rsidRPr="00000000">
        <w:rPr>
          <w:rtl w:val="0"/>
        </w:rPr>
        <w:t xml:space="preserve">2. Functional Correctness and the Model Hierarchy</w:t>
      </w:r>
    </w:p>
    <w:p w:rsidR="00000000" w:rsidDel="00000000" w:rsidP="00000000" w:rsidRDefault="00000000" w:rsidRPr="00000000" w14:paraId="00000005">
      <w:pPr>
        <w:rPr/>
      </w:pPr>
      <w:r w:rsidDel="00000000" w:rsidR="00000000" w:rsidRPr="00000000">
        <w:rPr>
          <w:rtl w:val="0"/>
        </w:rPr>
        <w:t xml:space="preserve">In autonomous generation, "Functional Correctness" (Pass@1) identifies the percentage of problems where the initial solution passes all unit tests. This serves as the primary gatekeeper for immediate utility. Longitudinal data spanning 2025 (Bayram et al.) and 2026 (Belozerov et al.) reveal a widening performance chasm between model families.Strategic selection is critical; the "correction tax" levied on human developers by lower-performing models is unsustainable in enterprise environments. The following hierarchy identifies the divergence in success rates:</w:t>
      </w:r>
    </w:p>
    <w:p w:rsidR="00000000" w:rsidDel="00000000" w:rsidP="00000000" w:rsidRDefault="00000000" w:rsidRPr="00000000" w14:paraId="00000006">
      <w:pPr>
        <w:pStyle w:val="Heading5"/>
        <w:rPr/>
      </w:pPr>
      <w:bookmarkStart w:colFirst="0" w:colLast="0" w:name="_a8eqcabve5md" w:id="3"/>
      <w:bookmarkEnd w:id="3"/>
      <w:r w:rsidDel="00000000" w:rsidR="00000000" w:rsidRPr="00000000">
        <w:rPr>
          <w:rtl w:val="0"/>
        </w:rPr>
        <w:t xml:space="preserve">Model Performance Success Rates (Longitudinal View)</w:t>
      </w:r>
    </w:p>
    <w:p w:rsidR="00000000" w:rsidDel="00000000" w:rsidP="00000000" w:rsidRDefault="00000000" w:rsidRPr="00000000" w14:paraId="00000007">
      <w:pPr>
        <w:rPr/>
      </w:pPr>
      <w:r w:rsidDel="00000000" w:rsidR="00000000" w:rsidRPr="00000000">
        <w:rPr>
          <w:rtl w:val="0"/>
        </w:rPr>
        <w:t xml:space="preserve">Model Family,Specific Model Variant,Pass@1 Success Rate,Source / Era</w:t>
      </w:r>
    </w:p>
    <w:p w:rsidR="00000000" w:rsidDel="00000000" w:rsidP="00000000" w:rsidRDefault="00000000" w:rsidRPr="00000000" w14:paraId="00000008">
      <w:pPr>
        <w:rPr/>
      </w:pPr>
      <w:r w:rsidDel="00000000" w:rsidR="00000000" w:rsidRPr="00000000">
        <w:rPr>
          <w:rtl w:val="0"/>
        </w:rPr>
        <w:t xml:space="preserve">Anthropic Claude,Claude Sonnet 4,95.1%,Bayram (2025)</w:t>
      </w:r>
    </w:p>
    <w:p w:rsidR="00000000" w:rsidDel="00000000" w:rsidP="00000000" w:rsidRDefault="00000000" w:rsidRPr="00000000" w14:paraId="00000009">
      <w:pPr>
        <w:rPr/>
      </w:pPr>
      <w:r w:rsidDel="00000000" w:rsidR="00000000" w:rsidRPr="00000000">
        <w:rPr>
          <w:rtl w:val="0"/>
        </w:rPr>
        <w:t xml:space="preserve">Anthropic Claude,Claude Opus 4.1,94.5%,Belozerov (2026)</w:t>
      </w:r>
    </w:p>
    <w:p w:rsidR="00000000" w:rsidDel="00000000" w:rsidP="00000000" w:rsidRDefault="00000000" w:rsidRPr="00000000" w14:paraId="0000000A">
      <w:pPr>
        <w:rPr/>
      </w:pPr>
      <w:r w:rsidDel="00000000" w:rsidR="00000000" w:rsidRPr="00000000">
        <w:rPr>
          <w:rtl w:val="0"/>
        </w:rPr>
        <w:t xml:space="preserve">Anthropic Claude,Claude 3.5 Sonnet,88.4%,Bayram (2025)</w:t>
      </w:r>
    </w:p>
    <w:p w:rsidR="00000000" w:rsidDel="00000000" w:rsidP="00000000" w:rsidRDefault="00000000" w:rsidRPr="00000000" w14:paraId="0000000B">
      <w:pPr>
        <w:rPr/>
      </w:pPr>
      <w:r w:rsidDel="00000000" w:rsidR="00000000" w:rsidRPr="00000000">
        <w:rPr>
          <w:rtl w:val="0"/>
        </w:rPr>
        <w:t xml:space="preserve">OpenAI GPT,GPT-5,85.0%,Belozerov (2026)</w:t>
      </w:r>
    </w:p>
    <w:p w:rsidR="00000000" w:rsidDel="00000000" w:rsidP="00000000" w:rsidRDefault="00000000" w:rsidRPr="00000000" w14:paraId="0000000C">
      <w:pPr>
        <w:rPr/>
      </w:pPr>
      <w:r w:rsidDel="00000000" w:rsidR="00000000" w:rsidRPr="00000000">
        <w:rPr>
          <w:rtl w:val="0"/>
        </w:rPr>
        <w:t xml:space="preserve">OpenAI GPT,GPT-4 Omni,75.0%,Bayram (2025)</w:t>
      </w:r>
    </w:p>
    <w:p w:rsidR="00000000" w:rsidDel="00000000" w:rsidP="00000000" w:rsidRDefault="00000000" w:rsidRPr="00000000" w14:paraId="0000000D">
      <w:pPr>
        <w:rPr/>
      </w:pPr>
      <w:r w:rsidDel="00000000" w:rsidR="00000000" w:rsidRPr="00000000">
        <w:rPr>
          <w:rtl w:val="0"/>
        </w:rPr>
        <w:t xml:space="preserve">OpenAI GPT,GPT-3.5 Turbo,72.0%,Bayram (2025)</w:t>
      </w:r>
    </w:p>
    <w:p w:rsidR="00000000" w:rsidDel="00000000" w:rsidP="00000000" w:rsidRDefault="00000000" w:rsidRPr="00000000" w14:paraId="0000000E">
      <w:pPr>
        <w:rPr/>
      </w:pPr>
      <w:r w:rsidDel="00000000" w:rsidR="00000000" w:rsidRPr="00000000">
        <w:rPr>
          <w:rtl w:val="0"/>
        </w:rPr>
        <w:t xml:space="preserve">This data identifies a persistent 20% performance margin in the Anthropic ecosystem. Choosing a model that achieves 95.1% correctness versus the 72–75% range typical of legacy GPT-4 models significantly reduces the overhead of manual debugging. Structural analysis confirms that these functional gains are not accidental; they are mathematically underpinned by increased control-flow density and algorithmic depth.</w:t>
      </w:r>
    </w:p>
    <w:p w:rsidR="00000000" w:rsidDel="00000000" w:rsidP="00000000" w:rsidRDefault="00000000" w:rsidRPr="00000000" w14:paraId="0000000F">
      <w:pPr>
        <w:pStyle w:val="Heading4"/>
        <w:rPr/>
      </w:pPr>
      <w:bookmarkStart w:colFirst="0" w:colLast="0" w:name="_45gq5y1u6i0" w:id="4"/>
      <w:bookmarkEnd w:id="4"/>
      <w:r w:rsidDel="00000000" w:rsidR="00000000" w:rsidRPr="00000000">
        <w:rPr>
          <w:rtl w:val="0"/>
        </w:rPr>
        <w:t xml:space="preserve">3. The Complexity-Reliability Paradox</w:t>
      </w:r>
    </w:p>
    <w:p w:rsidR="00000000" w:rsidDel="00000000" w:rsidP="00000000" w:rsidRDefault="00000000" w:rsidRPr="00000000" w14:paraId="00000010">
      <w:pPr>
        <w:rPr/>
      </w:pPr>
      <w:r w:rsidDel="00000000" w:rsidR="00000000" w:rsidRPr="00000000">
        <w:rPr>
          <w:rtl w:val="0"/>
        </w:rPr>
        <w:t xml:space="preserve">We reject the conventional "simplicity bias." In AI-generated code, higher structural complexity is frequently the hallmark of reliability. We measure this via Cyclomatic Complexity (CC), which quantifies the linearly independent paths through a program's control flow.The data reveals a "defensive implementation gap." Models like GPT-4 Omni (CC: 3.1) produce concise code that frequently fails when faced with real-world edge cases. Conversely, Claude 3.7 Sonnet (CC: 4.0) and Claude Opus 4.1 (CC: 3.9) exhibit a strong positive correlation ( </w:t>
      </w:r>
      <w:r w:rsidDel="00000000" w:rsidR="00000000" w:rsidRPr="00000000">
        <w:rPr>
          <w:b w:val="1"/>
          <w:bCs w:val="1"/>
          <w:rtl w:val="0"/>
        </w:rPr>
        <w:t xml:space="preserve">r = 0.73</w:t>
      </w:r>
      <w:r w:rsidDel="00000000" w:rsidR="00000000" w:rsidRPr="00000000">
        <w:rPr>
          <w:rtl w:val="0"/>
        </w:rPr>
        <w:t xml:space="preserve"> ) between complexity and success.</w:t>
      </w:r>
      <w:r w:rsidDel="00000000" w:rsidR="00000000" w:rsidRPr="00000000">
        <w:rPr>
          <w:b w:val="1"/>
          <w:bCs w:val="1"/>
          <w:rtl w:val="0"/>
        </w:rPr>
        <w:t xml:space="preserve">The Verdict:</w:t>
      </w:r>
      <w:r w:rsidDel="00000000" w:rsidR="00000000" w:rsidRPr="00000000">
        <w:rPr>
          <w:rtl w:val="0"/>
        </w:rPr>
        <w:t xml:space="preserve">  Higher CC in Anthropic models represents necessary algorithmic sophistication—including input validation and nuanced error handling—rather than technical debt. OpenAI’s lower CC scores are not a victory for "clean code" but a failure of defensive programming. Sophisticated control-flow structures provide the robustness required for production resilience; fragile simplicity is a failure mode.</w:t>
      </w:r>
    </w:p>
    <w:p w:rsidR="00000000" w:rsidDel="00000000" w:rsidP="00000000" w:rsidRDefault="00000000" w:rsidRPr="00000000" w14:paraId="00000011">
      <w:pPr>
        <w:pStyle w:val="Heading4"/>
        <w:rPr/>
      </w:pPr>
      <w:bookmarkStart w:colFirst="0" w:colLast="0" w:name="_365hffv1kxfk" w:id="5"/>
      <w:bookmarkEnd w:id="5"/>
      <w:r w:rsidDel="00000000" w:rsidR="00000000" w:rsidRPr="00000000">
        <w:rPr>
          <w:rtl w:val="0"/>
        </w:rPr>
        <w:t xml:space="preserve">4. The Maintainability Index (MI) and Long-Term Viability</w:t>
      </w:r>
    </w:p>
    <w:p w:rsidR="00000000" w:rsidDel="00000000" w:rsidP="00000000" w:rsidRDefault="00000000" w:rsidRPr="00000000" w14:paraId="00000012">
      <w:pPr>
        <w:rPr/>
      </w:pPr>
      <w:r w:rsidDel="00000000" w:rsidR="00000000" w:rsidRPr="00000000">
        <w:rPr>
          <w:rtl w:val="0"/>
        </w:rPr>
        <w:t xml:space="preserve">The Maintainability Index (MI) is our composite predictor of the effort required to evolve and repair code. For enterprise sustainability, we must achieve a "sweet spot" of high complexity paired with high maintainability.Most leading models cluster in the  </w:t>
      </w:r>
      <w:r w:rsidDel="00000000" w:rsidR="00000000" w:rsidRPr="00000000">
        <w:rPr>
          <w:b w:val="1"/>
          <w:bCs w:val="1"/>
          <w:rtl w:val="0"/>
        </w:rPr>
        <w:t xml:space="preserve">72–73 MI</w:t>
      </w:r>
      <w:r w:rsidDel="00000000" w:rsidR="00000000" w:rsidRPr="00000000">
        <w:rPr>
          <w:rtl w:val="0"/>
        </w:rPr>
        <w:t xml:space="preserve">  range. However, GPT-4 Omni is a statistical outlier with an MI of  </w:t>
      </w:r>
      <w:r w:rsidDel="00000000" w:rsidR="00000000" w:rsidRPr="00000000">
        <w:rPr>
          <w:b w:val="1"/>
          <w:bCs w:val="1"/>
          <w:rtl w:val="0"/>
        </w:rPr>
        <w:t xml:space="preserve">66</w:t>
      </w:r>
      <w:r w:rsidDel="00000000" w:rsidR="00000000" w:rsidRPr="00000000">
        <w:rPr>
          <w:rtl w:val="0"/>
        </w:rPr>
        <w:t xml:space="preserve"> . This identifies a severe strategic risk: GPT-4 Omni generates the simplest code (lowest CC) yet produces the least maintainable logic. This is the definition of "spaghetti logic"—code that lacks proper abstraction despite its brevity.Anthropic models successfully navigate this paradox, generating complex logic (High CC) while maintaining superior MI scores (&gt;72). This "high-complexity, high-maintainability" profile is an architectural directive for the enterprise; it reduces long-term technical debt by providing sophisticated, readable logic that automates the defensive programming humans often skip.</w:t>
      </w:r>
    </w:p>
    <w:p w:rsidR="00000000" w:rsidDel="00000000" w:rsidP="00000000" w:rsidRDefault="00000000" w:rsidRPr="00000000" w14:paraId="00000013">
      <w:pPr>
        <w:pStyle w:val="Heading4"/>
        <w:rPr/>
      </w:pPr>
      <w:bookmarkStart w:colFirst="0" w:colLast="0" w:name="_4xpx6qvzrp7c" w:id="6"/>
      <w:bookmarkEnd w:id="6"/>
      <w:r w:rsidDel="00000000" w:rsidR="00000000" w:rsidRPr="00000000">
        <w:rPr>
          <w:rtl w:val="0"/>
        </w:rPr>
        <w:t xml:space="preserve">5. Implementation Depth: The Value of Verbosity</w:t>
      </w:r>
    </w:p>
    <w:p w:rsidR="00000000" w:rsidDel="00000000" w:rsidP="00000000" w:rsidRDefault="00000000" w:rsidRPr="00000000" w14:paraId="00000014">
      <w:pPr>
        <w:rPr/>
      </w:pPr>
      <w:r w:rsidDel="00000000" w:rsidR="00000000" w:rsidRPr="00000000">
        <w:rPr>
          <w:rtl w:val="0"/>
        </w:rPr>
        <w:t xml:space="preserve">Code conciseness is a liability in autonomous generation. We observe a strong positive correlation ( </w:t>
      </w:r>
      <w:r w:rsidDel="00000000" w:rsidR="00000000" w:rsidRPr="00000000">
        <w:rPr>
          <w:b w:val="1"/>
          <w:bCs w:val="1"/>
          <w:rtl w:val="0"/>
        </w:rPr>
        <w:t xml:space="preserve">r = 0.81</w:t>
      </w:r>
      <w:r w:rsidDel="00000000" w:rsidR="00000000" w:rsidRPr="00000000">
        <w:rPr>
          <w:rtl w:val="0"/>
        </w:rPr>
        <w:t xml:space="preserve"> ) between Lines of Code (LOC) and functional success.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Brevity as Failure:</w:t>
      </w:r>
      <w:r w:rsidDel="00000000" w:rsidR="00000000" w:rsidRPr="00000000">
        <w:rPr>
          <w:rtl w:val="0"/>
        </w:rPr>
        <w:t xml:space="preserve">  OpenAI GPT models average 7.7 lines, producing "Concise but Fragile" solutions that lack the depth to handle complex requirements.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Robust Implementation:</w:t>
      </w:r>
      <w:r w:rsidDel="00000000" w:rsidR="00000000" w:rsidRPr="00000000">
        <w:rPr>
          <w:rtl w:val="0"/>
        </w:rPr>
        <w:t xml:space="preserve">  Anthropic models average 8.75 lines (peaking at 9.2 with Opus 4).These additional lines are dedicated to essential implementation details: defensive checks, edge-case management, and algorithmic robustness. In the era of AI, we prioritize "detailed and robust" over "concise and fragile."</w:t>
      </w:r>
    </w:p>
    <w:p w:rsidR="00000000" w:rsidDel="00000000" w:rsidP="00000000" w:rsidRDefault="00000000" w:rsidRPr="00000000" w14:paraId="00000017">
      <w:pPr>
        <w:pStyle w:val="Heading4"/>
        <w:rPr/>
      </w:pPr>
      <w:bookmarkStart w:colFirst="0" w:colLast="0" w:name="_dgiugn2d8c5o" w:id="7"/>
      <w:bookmarkEnd w:id="7"/>
      <w:r w:rsidDel="00000000" w:rsidR="00000000" w:rsidRPr="00000000">
        <w:rPr>
          <w:rtl w:val="0"/>
        </w:rPr>
        <w:t xml:space="preserve">6. Error Archetypes and Security Longitudinality</w:t>
      </w:r>
    </w:p>
    <w:p w:rsidR="00000000" w:rsidDel="00000000" w:rsidP="00000000" w:rsidRDefault="00000000" w:rsidRPr="00000000" w14:paraId="00000018">
      <w:pPr>
        <w:rPr/>
      </w:pPr>
      <w:r w:rsidDel="00000000" w:rsidR="00000000" w:rsidRPr="00000000">
        <w:rPr>
          <w:rtl w:val="0"/>
        </w:rPr>
        <w:t xml:space="preserve">Even high-performing models can be "confidently incorrect." We classify failures into distinct archetypes to guide our manual review and static scanning mandates: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Syntax Errors:</w:t>
      </w:r>
      <w:r w:rsidDel="00000000" w:rsidR="00000000" w:rsidRPr="00000000">
        <w:rPr>
          <w:rtl w:val="0"/>
        </w:rPr>
        <w:t xml:space="preserve">  GPT-4 Omni exhibits a staggering  </w:t>
      </w:r>
      <w:r w:rsidDel="00000000" w:rsidR="00000000" w:rsidRPr="00000000">
        <w:rPr>
          <w:b w:val="1"/>
          <w:bCs w:val="1"/>
          <w:rtl w:val="0"/>
        </w:rPr>
        <w:t xml:space="preserve">14.6% syntax error rate</w:t>
      </w:r>
      <w:r w:rsidDel="00000000" w:rsidR="00000000" w:rsidRPr="00000000">
        <w:rPr>
          <w:rtl w:val="0"/>
        </w:rPr>
        <w:t xml:space="preserve">  in single-shot generations, compared to  </w:t>
      </w:r>
      <w:r w:rsidDel="00000000" w:rsidR="00000000" w:rsidRPr="00000000">
        <w:rPr>
          <w:b w:val="1"/>
          <w:bCs w:val="1"/>
          <w:rtl w:val="0"/>
        </w:rPr>
        <w:t xml:space="preserve">&lt;1%</w:t>
      </w:r>
      <w:r w:rsidDel="00000000" w:rsidR="00000000" w:rsidRPr="00000000">
        <w:rPr>
          <w:rtl w:val="0"/>
        </w:rPr>
        <w:t xml:space="preserve">  for Claude variants.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Logical Failures:</w:t>
      </w:r>
      <w:r w:rsidDel="00000000" w:rsidR="00000000" w:rsidRPr="00000000">
        <w:rPr>
          <w:rtl w:val="0"/>
        </w:rPr>
        <w:t xml:space="preserve">  Logic errors remain the primary bottleneck for the Claude family (2.4% to 9.8%).</w:t>
      </w:r>
    </w:p>
    <w:p w:rsidR="00000000" w:rsidDel="00000000" w:rsidP="00000000" w:rsidRDefault="00000000" w:rsidRPr="00000000" w14:paraId="0000001B">
      <w:pPr>
        <w:pStyle w:val="Heading5"/>
        <w:rPr/>
      </w:pPr>
      <w:bookmarkStart w:colFirst="0" w:colLast="0" w:name="_q046iqkbc84t" w:id="8"/>
      <w:bookmarkEnd w:id="8"/>
      <w:r w:rsidDel="00000000" w:rsidR="00000000" w:rsidRPr="00000000">
        <w:rPr>
          <w:rtl w:val="0"/>
        </w:rPr>
        <w:t xml:space="preserve">Longitudinal Security Trends (2025–2026)</w:t>
      </w:r>
    </w:p>
    <w:p w:rsidR="00000000" w:rsidDel="00000000" w:rsidP="00000000" w:rsidRDefault="00000000" w:rsidRPr="00000000" w14:paraId="0000001C">
      <w:pPr>
        <w:rPr/>
      </w:pPr>
      <w:r w:rsidDel="00000000" w:rsidR="00000000" w:rsidRPr="00000000">
        <w:rPr>
          <w:rtl w:val="0"/>
        </w:rPr>
        <w:t xml:space="preserve">Vulnerability remediation has seen a significant shift. In 2024, detection/remediation rates hovered at 50%. By late 2025, these rates reached  </w:t>
      </w:r>
      <w:r w:rsidDel="00000000" w:rsidR="00000000" w:rsidRPr="00000000">
        <w:rPr>
          <w:b w:val="1"/>
          <w:bCs w:val="1"/>
          <w:rtl w:val="0"/>
        </w:rPr>
        <w:t xml:space="preserve">75–80%</w:t>
      </w:r>
      <w:r w:rsidDel="00000000" w:rsidR="00000000" w:rsidRPr="00000000">
        <w:rPr>
          <w:rtl w:val="0"/>
        </w:rPr>
        <w:t xml:space="preserve"> . The Belozerov study (2026) provides critical quantification across 56 confirmed vulnerabilities in 48 files:</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GPT-5:</w:t>
      </w:r>
      <w:r w:rsidDel="00000000" w:rsidR="00000000" w:rsidRPr="00000000">
        <w:rPr>
          <w:rtl w:val="0"/>
        </w:rPr>
        <w:t xml:space="preserve">  Detected 44/56 vulnerabilities and successfully repaired all 44 (100% repair success for detected items).</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Claude Opus 4.1:</w:t>
      </w:r>
      <w:r w:rsidDel="00000000" w:rsidR="00000000" w:rsidRPr="00000000">
        <w:rPr>
          <w:rtl w:val="0"/>
        </w:rPr>
        <w:t xml:space="preserve">  Detected 45/56 and repaired 43/56.</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GPT-4.1:</w:t>
      </w:r>
      <w:r w:rsidDel="00000000" w:rsidR="00000000" w:rsidRPr="00000000">
        <w:rPr>
          <w:rtl w:val="0"/>
        </w:rPr>
        <w:t xml:space="preserve">  Detected 46/56 and repaired 42/56.Despite these gains, AI-generated code remains statistically as likely to contain vulnerabilities as human-written code. Architects must mandate a "Human-in-the-Loop" strategy, integrating static scanners—specifically  </w:t>
      </w:r>
      <w:r w:rsidDel="00000000" w:rsidR="00000000" w:rsidRPr="00000000">
        <w:rPr>
          <w:b w:val="1"/>
          <w:bCs w:val="1"/>
          <w:rtl w:val="0"/>
        </w:rPr>
        <w:t xml:space="preserve">Snyk, Semgrep, and Flawfinder</w:t>
      </w:r>
      <w:r w:rsidDel="00000000" w:rsidR="00000000" w:rsidRPr="00000000">
        <w:rPr>
          <w:rtl w:val="0"/>
        </w:rPr>
        <w:t xml:space="preserve"> —into all CI/CD pipelines to mitigate risks like CWE-20 (Improper Input Validation) and CWE-120 (Buffer Overflow), which account for over 40% of identified weaknesses.</w:t>
      </w:r>
    </w:p>
    <w:p w:rsidR="00000000" w:rsidDel="00000000" w:rsidP="00000000" w:rsidRDefault="00000000" w:rsidRPr="00000000" w14:paraId="00000020">
      <w:pPr>
        <w:pStyle w:val="Heading4"/>
        <w:rPr/>
      </w:pPr>
      <w:bookmarkStart w:colFirst="0" w:colLast="0" w:name="_udb105f05w0r" w:id="9"/>
      <w:bookmarkEnd w:id="9"/>
      <w:r w:rsidDel="00000000" w:rsidR="00000000" w:rsidRPr="00000000">
        <w:rPr>
          <w:rtl w:val="0"/>
        </w:rPr>
        <w:t xml:space="preserve">7. Strategic Directives for Autonomous Generation Frameworks</w:t>
      </w:r>
    </w:p>
    <w:p w:rsidR="00000000" w:rsidDel="00000000" w:rsidP="00000000" w:rsidRDefault="00000000" w:rsidRPr="00000000" w14:paraId="00000021">
      <w:pPr>
        <w:rPr/>
      </w:pPr>
      <w:r w:rsidDel="00000000" w:rsidR="00000000" w:rsidRPr="00000000">
        <w:rPr>
          <w:rtl w:val="0"/>
        </w:rPr>
        <w:t xml:space="preserve">To operationalize these findings, engineering leads must implement a differentiated model strategy based on risk and complexity.</w:t>
      </w:r>
    </w:p>
    <w:p w:rsidR="00000000" w:rsidDel="00000000" w:rsidP="00000000" w:rsidRDefault="00000000" w:rsidRPr="00000000" w14:paraId="00000022">
      <w:pPr>
        <w:pStyle w:val="Heading5"/>
        <w:rPr/>
      </w:pPr>
      <w:bookmarkStart w:colFirst="0" w:colLast="0" w:name="_15go3997rfqh" w:id="10"/>
      <w:bookmarkEnd w:id="10"/>
      <w:r w:rsidDel="00000000" w:rsidR="00000000" w:rsidRPr="00000000">
        <w:rPr>
          <w:rtl w:val="0"/>
        </w:rPr>
        <w:t xml:space="preserve">Model Selection Matrix</w:t>
      </w:r>
    </w:p>
    <w:p w:rsidR="00000000" w:rsidDel="00000000" w:rsidP="00000000" w:rsidRDefault="00000000" w:rsidRPr="00000000" w14:paraId="00000023">
      <w:pPr>
        <w:rPr/>
      </w:pPr>
      <w:r w:rsidDel="00000000" w:rsidR="00000000" w:rsidRPr="00000000">
        <w:rPr>
          <w:rtl w:val="0"/>
        </w:rPr>
        <w:t xml:space="preserve">Task Complexity,Recommended Model,Primary KPI Target,Risk Mitigation Strategy</w:t>
      </w:r>
    </w:p>
    <w:p w:rsidR="00000000" w:rsidDel="00000000" w:rsidP="00000000" w:rsidRDefault="00000000" w:rsidRPr="00000000" w14:paraId="00000024">
      <w:pPr>
        <w:rPr/>
      </w:pPr>
      <w:r w:rsidDel="00000000" w:rsidR="00000000" w:rsidRPr="00000000">
        <w:rPr>
          <w:rtl w:val="0"/>
        </w:rPr>
        <w:t xml:space="preserve">Mission-Critical / Production,Anthropic Claude (Sonnet 4 / Opus 4.1),Pass@1 &gt; 90%; CC 3.5–4.0,Mandatory Static Scanning (Snyk) + Senior Review</w:t>
      </w:r>
    </w:p>
    <w:p w:rsidR="00000000" w:rsidDel="00000000" w:rsidP="00000000" w:rsidRDefault="00000000" w:rsidRPr="00000000" w14:paraId="00000025">
      <w:pPr>
        <w:rPr/>
      </w:pPr>
      <w:r w:rsidDel="00000000" w:rsidR="00000000" w:rsidRPr="00000000">
        <w:rPr>
          <w:rtl w:val="0"/>
        </w:rPr>
        <w:t xml:space="preserve">Security / Remediation,GPT-5,Fix Rate &gt; 75%,Differential Analysis (Multi-model verification)</w:t>
      </w:r>
    </w:p>
    <w:p w:rsidR="00000000" w:rsidDel="00000000" w:rsidP="00000000" w:rsidRDefault="00000000" w:rsidRPr="00000000" w14:paraId="00000026">
      <w:pPr>
        <w:rPr/>
      </w:pPr>
      <w:r w:rsidDel="00000000" w:rsidR="00000000" w:rsidRPr="00000000">
        <w:rPr>
          <w:rtl w:val="0"/>
        </w:rPr>
        <w:t xml:space="preserve">Rapid Prototyping,OpenAI GPT-4.1,MI &gt; 65,Human-led refactoring for production</w:t>
      </w:r>
    </w:p>
    <w:p w:rsidR="00000000" w:rsidDel="00000000" w:rsidP="00000000" w:rsidRDefault="00000000" w:rsidRPr="00000000" w14:paraId="00000027">
      <w:pPr>
        <w:pStyle w:val="Heading5"/>
        <w:rPr/>
      </w:pPr>
      <w:bookmarkStart w:colFirst="0" w:colLast="0" w:name="_qqqq0pyxj43d" w:id="11"/>
      <w:bookmarkEnd w:id="11"/>
      <w:r w:rsidDel="00000000" w:rsidR="00000000" w:rsidRPr="00000000">
        <w:rPr>
          <w:rtl w:val="0"/>
        </w:rPr>
        <w:t xml:space="preserve">Key Performance Indicators (KPIs) for QA</w:t>
      </w:r>
    </w:p>
    <w:p w:rsidR="00000000" w:rsidDel="00000000" w:rsidP="00000000" w:rsidRDefault="00000000" w:rsidRPr="00000000" w14:paraId="00000028">
      <w:pPr>
        <w:rPr/>
      </w:pPr>
      <w:r w:rsidDel="00000000" w:rsidR="00000000" w:rsidRPr="00000000">
        <w:rPr>
          <w:rtl w:val="0"/>
        </w:rPr>
        <w:t xml:space="preserve">QA specialists must monitor these four metrics to audit AI contributions effectively:</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Pass@1:</w:t>
      </w:r>
      <w:r w:rsidDel="00000000" w:rsidR="00000000" w:rsidRPr="00000000">
        <w:rPr>
          <w:rtl w:val="0"/>
        </w:rPr>
        <w:t xml:space="preserve">  Baseline functional utility.</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Cyclomatic Complexity (CC):</w:t>
      </w:r>
      <w:r w:rsidDel="00000000" w:rsidR="00000000" w:rsidRPr="00000000">
        <w:rPr>
          <w:rtl w:val="0"/>
        </w:rPr>
        <w:t xml:space="preserve">  Target 3.5–4.0 for logic-heavy modules to ensure defensive handling.</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Maintainability Index (MI):</w:t>
      </w:r>
      <w:r w:rsidDel="00000000" w:rsidR="00000000" w:rsidRPr="00000000">
        <w:rPr>
          <w:rtl w:val="0"/>
        </w:rPr>
        <w:t xml:space="preserve">   </w:t>
      </w:r>
      <w:r w:rsidDel="00000000" w:rsidR="00000000" w:rsidRPr="00000000">
        <w:rPr>
          <w:b w:val="1"/>
          <w:bCs w:val="1"/>
          <w:rtl w:val="0"/>
        </w:rPr>
        <w:t xml:space="preserve">Mandatory threshold of &gt;70</w:t>
      </w:r>
      <w:r w:rsidDel="00000000" w:rsidR="00000000" w:rsidRPr="00000000">
        <w:rPr>
          <w:rtl w:val="0"/>
        </w:rPr>
        <w:t xml:space="preserve">  to prevent technical debt accumulation.</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Lines of Code (LOC):</w:t>
      </w:r>
      <w:r w:rsidDel="00000000" w:rsidR="00000000" w:rsidRPr="00000000">
        <w:rPr>
          <w:rtl w:val="0"/>
        </w:rPr>
        <w:t xml:space="preserve">  Scrutinize extreme brevity (&lt;7 lines) as a high-probability indicator of fragility.</w:t>
      </w:r>
      <w:r w:rsidDel="00000000" w:rsidR="00000000" w:rsidRPr="00000000">
        <w:rPr>
          <w:b w:val="1"/>
          <w:bCs w:val="1"/>
          <w:rtl w:val="0"/>
        </w:rPr>
        <w:t xml:space="preserve">The Final Verdict:</w:t>
      </w:r>
      <w:r w:rsidDel="00000000" w:rsidR="00000000" w:rsidRPr="00000000">
        <w:rPr>
          <w:rtl w:val="0"/>
        </w:rPr>
        <w:t xml:space="preserve">  Sophisticated, longer AI implementations provide the algorithmic depth required for production reliability. We reject brevity in favor of robustness. Organizations that prioritize these structural metrics will successfully leverage the full potential of autonomous software generation while maintaining an uncompromised security posture.</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