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4.2 — Cross-Dimensional Patterns Synthesis</w:t>
      </w:r>
    </w:p>
    <w:p>
      <w:r>
        <w:t>Filename target: Phase_4_2_CQTD_Cross_Dimensional_Patterns_v1</w:t>
        <w:br/>
      </w:r>
    </w:p>
    <w:p>
      <w:pPr>
        <w:pStyle w:val="Heading1"/>
      </w:pPr>
      <w:r>
        <w:t>1. Overview</w:t>
      </w:r>
    </w:p>
    <w:p>
      <w:r>
        <w:t>The seven-dimensional analytical structure of the review provides disciplinary clarity, but the most consequential findings emerge at the intersections between dimensions rather than within any single dimension. Across the corpus, productivity gains repeatedly interact with quality outcomes, trust dynamics, cognitive processes, organisational practices, and economic consequences. The resulting picture is inherently socio-technical rather than purely technical.</w:t>
      </w:r>
    </w:p>
    <w:p>
      <w:r>
        <w:t>This artefact synthesises recurring cross-dimensional patterns identified across the corpus. The objective is not to restate dimension-specific findings already captured in the Consensus Map, but to identify higher-order regularities that recur across multiple analytical lenses and therefore contribute to the integrated explanatory model developed in Phase 4.</w:t>
      </w:r>
    </w:p>
    <w:p>
      <w:pPr>
        <w:pStyle w:val="Heading2"/>
      </w:pPr>
      <w:r>
        <w:t>2.1 The productivity–quality paradox</w:t>
      </w:r>
    </w:p>
    <w:p>
      <w:r>
        <w:t>2.1.1 Pattern statement: The productivity–quality paradox appears consistently across dimensions.</w:t>
      </w:r>
    </w:p>
    <w:p>
      <w:r>
        <w:t>2.1.2 Dimensions involved: Productivity, CQTD, HAI.</w:t>
      </w:r>
    </w:p>
    <w:p>
      <w:r>
        <w:t>2.1.3 Mechanism: Evidence suggests interaction effects linking the participating dimensions rather than independent outcomes.</w:t>
      </w:r>
    </w:p>
    <w:p>
      <w:r>
        <w:t>2.1.4 Supporting evidence per dimension: representative corpus papers include siddiq_generate_2023; chen_impact_2024; karanjai_who_2023; bayram_comparative_2025. Quantitative anchors should be drawn from the Anchors Compendium during manuscript integration.</w:t>
      </w:r>
    </w:p>
    <w:p>
      <w:r>
        <w:t>2.1.5 Pattern strength: Strong.</w:t>
      </w:r>
    </w:p>
    <w:p>
      <w:r>
        <w:t>2.1.6 Theoretical implication: Instantiates combinations of generation efficiency, verification overhead, interaction quality, trust calibration, and cognitive redistribution.</w:t>
      </w:r>
    </w:p>
    <w:p>
      <w:r>
        <w:t>2.1.7 Manuscript placement: Results Section 4 cross-dimensional synthesis; Discussion Section 5 socio-technical interpretation.</w:t>
      </w:r>
    </w:p>
    <w:p>
      <w:pPr>
        <w:pStyle w:val="Heading2"/>
      </w:pPr>
      <w:r>
        <w:t>2.2 Skill amplification versus deskilling tension</w:t>
      </w:r>
    </w:p>
    <w:p>
      <w:r>
        <w:t>2.2.1 Pattern statement: Skill amplification versus deskilling tension appears consistently across dimensions.</w:t>
      </w:r>
    </w:p>
    <w:p>
      <w:r>
        <w:t>2.2.2 Dimensions involved: Productivity, HAI, Cognitive Load.</w:t>
      </w:r>
    </w:p>
    <w:p>
      <w:r>
        <w:t>2.2.3 Mechanism: Evidence suggests interaction effects linking the participating dimensions rather than independent outcomes.</w:t>
      </w:r>
    </w:p>
    <w:p>
      <w:r>
        <w:t>2.2.4 Supporting evidence per dimension: representative corpus papers include siddiq_generate_2023; chen_impact_2024; karanjai_who_2023; bayram_comparative_2025. Quantitative anchors should be drawn from the Anchors Compendium during manuscript integration.</w:t>
      </w:r>
    </w:p>
    <w:p>
      <w:r>
        <w:t>2.2.5 Pattern strength: Strong.</w:t>
      </w:r>
    </w:p>
    <w:p>
      <w:r>
        <w:t>2.2.6 Theoretical implication: Instantiates combinations of generation efficiency, verification overhead, interaction quality, trust calibration, and cognitive redistribution.</w:t>
      </w:r>
    </w:p>
    <w:p>
      <w:r>
        <w:t>2.2.7 Manuscript placement: Results Section 4 cross-dimensional synthesis; Discussion Section 5 socio-technical interpretation.</w:t>
      </w:r>
    </w:p>
    <w:p>
      <w:pPr>
        <w:pStyle w:val="Heading2"/>
      </w:pPr>
      <w:r>
        <w:t>2.3 Trust–validation gap</w:t>
      </w:r>
    </w:p>
    <w:p>
      <w:r>
        <w:t>2.3.1 Pattern statement: Trust–validation gap appears consistently across dimensions.</w:t>
      </w:r>
    </w:p>
    <w:p>
      <w:r>
        <w:t>2.3.2 Dimensions involved: Perception &amp; Trust, HAI, CQTD.</w:t>
      </w:r>
    </w:p>
    <w:p>
      <w:r>
        <w:t>2.3.3 Mechanism: Evidence suggests interaction effects linking the participating dimensions rather than independent outcomes.</w:t>
      </w:r>
    </w:p>
    <w:p>
      <w:r>
        <w:t>2.3.4 Supporting evidence per dimension: representative corpus papers include siddiq_generate_2023; chen_impact_2024; karanjai_who_2023; bayram_comparative_2025. Quantitative anchors should be drawn from the Anchors Compendium during manuscript integration.</w:t>
      </w:r>
    </w:p>
    <w:p>
      <w:r>
        <w:t>2.3.5 Pattern strength: Strong.</w:t>
      </w:r>
    </w:p>
    <w:p>
      <w:r>
        <w:t>2.3.6 Theoretical implication: Instantiates combinations of generation efficiency, verification overhead, interaction quality, trust calibration, and cognitive redistribution.</w:t>
      </w:r>
    </w:p>
    <w:p>
      <w:r>
        <w:t>2.3.7 Manuscript placement: Results Section 4 cross-dimensional synthesis; Discussion Section 5 socio-technical interpretation.</w:t>
      </w:r>
    </w:p>
    <w:p>
      <w:pPr>
        <w:pStyle w:val="Heading2"/>
      </w:pPr>
      <w:r>
        <w:t>2.4 Verification effort redistribution</w:t>
      </w:r>
    </w:p>
    <w:p>
      <w:r>
        <w:t>2.4.1 Pattern statement: Verification effort redistribution appears consistently across dimensions.</w:t>
      </w:r>
    </w:p>
    <w:p>
      <w:r>
        <w:t>2.4.2 Dimensions involved: Productivity, Cognitive Load, Organisational Impact.</w:t>
      </w:r>
    </w:p>
    <w:p>
      <w:r>
        <w:t>2.4.3 Mechanism: Evidence suggests interaction effects linking the participating dimensions rather than independent outcomes.</w:t>
      </w:r>
    </w:p>
    <w:p>
      <w:r>
        <w:t>2.4.4 Supporting evidence per dimension: representative corpus papers include siddiq_generate_2023; chen_impact_2024; karanjai_who_2023; bayram_comparative_2025. Quantitative anchors should be drawn from the Anchors Compendium during manuscript integration.</w:t>
      </w:r>
    </w:p>
    <w:p>
      <w:r>
        <w:t>2.4.5 Pattern strength: Strong.</w:t>
      </w:r>
    </w:p>
    <w:p>
      <w:r>
        <w:t>2.4.6 Theoretical implication: Instantiates combinations of generation efficiency, verification overhead, interaction quality, trust calibration, and cognitive redistribution.</w:t>
      </w:r>
    </w:p>
    <w:p>
      <w:r>
        <w:t>2.4.7 Manuscript placement: Results Section 4 cross-dimensional synthesis; Discussion Section 5 socio-technical interpretation.</w:t>
      </w:r>
    </w:p>
    <w:p>
      <w:pPr>
        <w:pStyle w:val="Heading2"/>
      </w:pPr>
      <w:r>
        <w:t>2.5 Cost–benefit asymmetry</w:t>
      </w:r>
    </w:p>
    <w:p>
      <w:r>
        <w:t>2.5.1 Pattern statement: Cost–benefit asymmetry appears consistently across dimensions.</w:t>
      </w:r>
    </w:p>
    <w:p>
      <w:r>
        <w:t>2.5.2 Dimensions involved: Economic Impact, Productivity, Organisational Impact.</w:t>
      </w:r>
    </w:p>
    <w:p>
      <w:r>
        <w:t>2.5.3 Mechanism: Evidence suggests interaction effects linking the participating dimensions rather than independent outcomes.</w:t>
      </w:r>
    </w:p>
    <w:p>
      <w:r>
        <w:t>2.5.4 Supporting evidence per dimension: representative corpus papers include siddiq_generate_2023; chen_impact_2024; karanjai_who_2023; bayram_comparative_2025. Quantitative anchors should be drawn from the Anchors Compendium during manuscript integration.</w:t>
      </w:r>
    </w:p>
    <w:p>
      <w:r>
        <w:t>2.5.5 Pattern strength: Strong.</w:t>
      </w:r>
    </w:p>
    <w:p>
      <w:r>
        <w:t>2.5.6 Theoretical implication: Instantiates combinations of generation efficiency, verification overhead, interaction quality, trust calibration, and cognitive redistribution.</w:t>
      </w:r>
    </w:p>
    <w:p>
      <w:r>
        <w:t>2.5.7 Manuscript placement: Results Section 4 cross-dimensional synthesis; Discussion Section 5 socio-technical interpretation.</w:t>
      </w:r>
    </w:p>
    <w:p>
      <w:pPr>
        <w:pStyle w:val="Heading2"/>
      </w:pPr>
      <w:r>
        <w:t>2.6 Context-dependent effectiveness</w:t>
      </w:r>
    </w:p>
    <w:p>
      <w:r>
        <w:t>2.6.1 Pattern statement: Context-dependent effectiveness appears consistently across dimensions.</w:t>
      </w:r>
    </w:p>
    <w:p>
      <w:r>
        <w:t>2.6.2 Dimensions involved: HAI, Productivity, CQTD.</w:t>
      </w:r>
    </w:p>
    <w:p>
      <w:r>
        <w:t>2.6.3 Mechanism: Evidence suggests interaction effects linking the participating dimensions rather than independent outcomes.</w:t>
      </w:r>
    </w:p>
    <w:p>
      <w:r>
        <w:t>2.6.4 Supporting evidence per dimension: representative corpus papers include siddiq_generate_2023; chen_impact_2024; karanjai_who_2023; bayram_comparative_2025. Quantitative anchors should be drawn from the Anchors Compendium during manuscript integration.</w:t>
      </w:r>
    </w:p>
    <w:p>
      <w:r>
        <w:t>2.6.5 Pattern strength: Strong.</w:t>
      </w:r>
    </w:p>
    <w:p>
      <w:r>
        <w:t>2.6.6 Theoretical implication: Instantiates combinations of generation efficiency, verification overhead, interaction quality, trust calibration, and cognitive redistribution.</w:t>
      </w:r>
    </w:p>
    <w:p>
      <w:r>
        <w:t>2.6.7 Manuscript placement: Results Section 4 cross-dimensional synthesis; Discussion Section 5 socio-technical interpretation.</w:t>
      </w:r>
    </w:p>
    <w:p>
      <w:pPr>
        <w:pStyle w:val="Heading2"/>
      </w:pPr>
      <w:r>
        <w:t>2.7 Multi-turn fragility</w:t>
      </w:r>
    </w:p>
    <w:p>
      <w:r>
        <w:t>2.7.1 Pattern statement: Multi-turn fragility appears consistently across dimensions.</w:t>
      </w:r>
    </w:p>
    <w:p>
      <w:r>
        <w:t>2.7.2 Dimensions involved: HAI, CQTD, Cognitive Load.</w:t>
      </w:r>
    </w:p>
    <w:p>
      <w:r>
        <w:t>2.7.3 Mechanism: Evidence suggests interaction effects linking the participating dimensions rather than independent outcomes.</w:t>
      </w:r>
    </w:p>
    <w:p>
      <w:r>
        <w:t>2.7.4 Supporting evidence per dimension: representative corpus papers include siddiq_generate_2023; chen_impact_2024; karanjai_who_2023; bayram_comparative_2025. Quantitative anchors should be drawn from the Anchors Compendium during manuscript integration.</w:t>
      </w:r>
    </w:p>
    <w:p>
      <w:r>
        <w:t>2.7.5 Pattern strength: Strong.</w:t>
      </w:r>
    </w:p>
    <w:p>
      <w:r>
        <w:t>2.7.6 Theoretical implication: Instantiates combinations of generation efficiency, verification overhead, interaction quality, trust calibration, and cognitive redistribution.</w:t>
      </w:r>
    </w:p>
    <w:p>
      <w:r>
        <w:t>2.7.7 Manuscript placement: Results Section 4 cross-dimensional synthesis; Discussion Section 5 socio-technical interpretation.</w:t>
      </w:r>
    </w:p>
    <w:p>
      <w:pPr>
        <w:pStyle w:val="Heading2"/>
      </w:pPr>
      <w:r>
        <w:t>2.8 Adoption-intensity moderation</w:t>
      </w:r>
    </w:p>
    <w:p>
      <w:r>
        <w:t>2.8.1 Pattern statement: Adoption-intensity moderation appears consistently across dimensions.</w:t>
      </w:r>
    </w:p>
    <w:p>
      <w:r>
        <w:t>2.8.2 Dimensions involved: Organisational Impact, Productivity, Perception &amp; Trust.</w:t>
      </w:r>
    </w:p>
    <w:p>
      <w:r>
        <w:t>2.8.3 Mechanism: Evidence suggests interaction effects linking the participating dimensions rather than independent outcomes.</w:t>
      </w:r>
    </w:p>
    <w:p>
      <w:r>
        <w:t>2.8.4 Supporting evidence per dimension: representative corpus papers include siddiq_generate_2023; chen_impact_2024; karanjai_who_2023; bayram_comparative_2025. Quantitative anchors should be drawn from the Anchors Compendium during manuscript integration.</w:t>
      </w:r>
    </w:p>
    <w:p>
      <w:r>
        <w:t>2.8.5 Pattern strength: Strong.</w:t>
      </w:r>
    </w:p>
    <w:p>
      <w:r>
        <w:t>2.8.6 Theoretical implication: Instantiates combinations of generation efficiency, verification overhead, interaction quality, trust calibration, and cognitive redistribution.</w:t>
      </w:r>
    </w:p>
    <w:p>
      <w:r>
        <w:t>2.8.7 Manuscript placement: Results Section 4 cross-dimensional synthesis; Discussion Section 5 socio-technical interpretation.</w:t>
      </w:r>
    </w:p>
    <w:p>
      <w:pPr>
        <w:pStyle w:val="Heading1"/>
      </w:pPr>
      <w:r>
        <w:t>3. Meta-pattern analysis</w:t>
      </w:r>
    </w:p>
    <w:p>
      <w:r>
        <w:t>Productivity, Human–AI Interaction, and Code Quality &amp; Technical Debt emerge as hub dimensions because they participate in most cross-dimensional relationships.</w:t>
      </w:r>
    </w:p>
    <w:p>
      <w:r>
        <w:t>Economic and Organisational Impact dimensions appear less frequently as direct drivers but frequently moderate or amplify effects originating elsewhere.</w:t>
      </w:r>
    </w:p>
    <w:p>
      <w:pPr>
        <w:pStyle w:val="Heading1"/>
      </w:pPr>
      <w:r>
        <w:t>4. Synthesis: the integrated model</w:t>
      </w:r>
    </w:p>
    <w:p>
      <w:r>
        <w:t>Collectively, the patterns support a socio-technical equilibrium perspective in which gains from generation efficiency are balanced by verification, coordination, and trust-calibration requirements.</w:t>
      </w:r>
    </w:p>
    <w:p>
      <w:r>
        <w:t>The central theoretical proposition is that AI-assisted programming redistributes effort rather than eliminating it.</w:t>
      </w:r>
    </w:p>
    <w:p>
      <w:pPr>
        <w:pStyle w:val="Heading1"/>
      </w:pPr>
      <w:r>
        <w:t>5. Headline patterns table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Pattern</w:t>
            </w:r>
          </w:p>
        </w:tc>
        <w:tc>
          <w:tcPr>
            <w:tcW w:type="dxa" w:w="1440"/>
          </w:tcPr>
          <w:p>
            <w:r>
              <w:t>Dimensions involved</w:t>
            </w:r>
          </w:p>
        </w:tc>
        <w:tc>
          <w:tcPr>
            <w:tcW w:type="dxa" w:w="1440"/>
          </w:tcPr>
          <w:p>
            <w:r>
              <w:t>Strength</w:t>
            </w:r>
          </w:p>
        </w:tc>
        <w:tc>
          <w:tcPr>
            <w:tcW w:type="dxa" w:w="1440"/>
          </w:tcPr>
          <w:p>
            <w:r>
              <w:t>Strongest empirical anchor</w:t>
            </w:r>
          </w:p>
        </w:tc>
        <w:tc>
          <w:tcPr>
            <w:tcW w:type="dxa" w:w="1440"/>
          </w:tcPr>
          <w:p>
            <w:r>
              <w:t>Placement</w:t>
            </w:r>
          </w:p>
        </w:tc>
      </w:tr>
      <w:tr>
        <w:tc>
          <w:tcPr>
            <w:tcW w:type="dxa" w:w="1440"/>
          </w:tcPr>
          <w:p>
            <w:r>
              <w:t>1</w:t>
            </w:r>
          </w:p>
        </w:tc>
        <w:tc>
          <w:tcPr>
            <w:tcW w:type="dxa" w:w="1440"/>
          </w:tcPr>
          <w:p>
            <w:r>
              <w:t>The productivity–quality paradox</w:t>
            </w:r>
          </w:p>
        </w:tc>
        <w:tc>
          <w:tcPr>
            <w:tcW w:type="dxa" w:w="1440"/>
          </w:tcPr>
          <w:p>
            <w:r>
              <w:t>Productivity, CQTD, HAI</w:t>
            </w:r>
          </w:p>
        </w:tc>
        <w:tc>
          <w:tcPr>
            <w:tcW w:type="dxa" w:w="1440"/>
          </w:tcPr>
          <w:p>
            <w:r>
              <w:t>Strong</w:t>
            </w:r>
          </w:p>
        </w:tc>
        <w:tc>
          <w:tcPr>
            <w:tcW w:type="dxa" w:w="1440"/>
          </w:tcPr>
          <w:p>
            <w:r>
              <w:t>See Anchors Compendium</w:t>
            </w:r>
          </w:p>
        </w:tc>
        <w:tc>
          <w:tcPr>
            <w:tcW w:type="dxa" w:w="1440"/>
          </w:tcPr>
          <w:p>
            <w:r>
              <w:t>Sections 4–5</w:t>
            </w:r>
          </w:p>
        </w:tc>
      </w:tr>
      <w:tr>
        <w:tc>
          <w:tcPr>
            <w:tcW w:type="dxa" w:w="1440"/>
          </w:tcPr>
          <w:p>
            <w:r>
              <w:t>2</w:t>
            </w:r>
          </w:p>
        </w:tc>
        <w:tc>
          <w:tcPr>
            <w:tcW w:type="dxa" w:w="1440"/>
          </w:tcPr>
          <w:p>
            <w:r>
              <w:t>Skill amplification versus deskilling tension</w:t>
            </w:r>
          </w:p>
        </w:tc>
        <w:tc>
          <w:tcPr>
            <w:tcW w:type="dxa" w:w="1440"/>
          </w:tcPr>
          <w:p>
            <w:r>
              <w:t>Productivity, HAI, Cognitive Load</w:t>
            </w:r>
          </w:p>
        </w:tc>
        <w:tc>
          <w:tcPr>
            <w:tcW w:type="dxa" w:w="1440"/>
          </w:tcPr>
          <w:p>
            <w:r>
              <w:t>Strong</w:t>
            </w:r>
          </w:p>
        </w:tc>
        <w:tc>
          <w:tcPr>
            <w:tcW w:type="dxa" w:w="1440"/>
          </w:tcPr>
          <w:p>
            <w:r>
              <w:t>See Anchors Compendium</w:t>
            </w:r>
          </w:p>
        </w:tc>
        <w:tc>
          <w:tcPr>
            <w:tcW w:type="dxa" w:w="1440"/>
          </w:tcPr>
          <w:p>
            <w:r>
              <w:t>Sections 4–5</w:t>
            </w:r>
          </w:p>
        </w:tc>
      </w:tr>
      <w:tr>
        <w:tc>
          <w:tcPr>
            <w:tcW w:type="dxa" w:w="1440"/>
          </w:tcPr>
          <w:p>
            <w:r>
              <w:t>3</w:t>
            </w:r>
          </w:p>
        </w:tc>
        <w:tc>
          <w:tcPr>
            <w:tcW w:type="dxa" w:w="1440"/>
          </w:tcPr>
          <w:p>
            <w:r>
              <w:t>Trust–validation gap</w:t>
            </w:r>
          </w:p>
        </w:tc>
        <w:tc>
          <w:tcPr>
            <w:tcW w:type="dxa" w:w="1440"/>
          </w:tcPr>
          <w:p>
            <w:r>
              <w:t>Perception &amp; Trust, HAI, CQTD</w:t>
            </w:r>
          </w:p>
        </w:tc>
        <w:tc>
          <w:tcPr>
            <w:tcW w:type="dxa" w:w="1440"/>
          </w:tcPr>
          <w:p>
            <w:r>
              <w:t>Strong</w:t>
            </w:r>
          </w:p>
        </w:tc>
        <w:tc>
          <w:tcPr>
            <w:tcW w:type="dxa" w:w="1440"/>
          </w:tcPr>
          <w:p>
            <w:r>
              <w:t>See Anchors Compendium</w:t>
            </w:r>
          </w:p>
        </w:tc>
        <w:tc>
          <w:tcPr>
            <w:tcW w:type="dxa" w:w="1440"/>
          </w:tcPr>
          <w:p>
            <w:r>
              <w:t>Sections 4–5</w:t>
            </w:r>
          </w:p>
        </w:tc>
      </w:tr>
      <w:tr>
        <w:tc>
          <w:tcPr>
            <w:tcW w:type="dxa" w:w="1440"/>
          </w:tcPr>
          <w:p>
            <w:r>
              <w:t>4</w:t>
            </w:r>
          </w:p>
        </w:tc>
        <w:tc>
          <w:tcPr>
            <w:tcW w:type="dxa" w:w="1440"/>
          </w:tcPr>
          <w:p>
            <w:r>
              <w:t>Verification effort redistribution</w:t>
            </w:r>
          </w:p>
        </w:tc>
        <w:tc>
          <w:tcPr>
            <w:tcW w:type="dxa" w:w="1440"/>
          </w:tcPr>
          <w:p>
            <w:r>
              <w:t>Productivity, Cognitive Load, Organisational Impact</w:t>
            </w:r>
          </w:p>
        </w:tc>
        <w:tc>
          <w:tcPr>
            <w:tcW w:type="dxa" w:w="1440"/>
          </w:tcPr>
          <w:p>
            <w:r>
              <w:t>Strong</w:t>
            </w:r>
          </w:p>
        </w:tc>
        <w:tc>
          <w:tcPr>
            <w:tcW w:type="dxa" w:w="1440"/>
          </w:tcPr>
          <w:p>
            <w:r>
              <w:t>See Anchors Compendium</w:t>
            </w:r>
          </w:p>
        </w:tc>
        <w:tc>
          <w:tcPr>
            <w:tcW w:type="dxa" w:w="1440"/>
          </w:tcPr>
          <w:p>
            <w:r>
              <w:t>Sections 4–5</w:t>
            </w:r>
          </w:p>
        </w:tc>
      </w:tr>
      <w:tr>
        <w:tc>
          <w:tcPr>
            <w:tcW w:type="dxa" w:w="1440"/>
          </w:tcPr>
          <w:p>
            <w:r>
              <w:t>5</w:t>
            </w:r>
          </w:p>
        </w:tc>
        <w:tc>
          <w:tcPr>
            <w:tcW w:type="dxa" w:w="1440"/>
          </w:tcPr>
          <w:p>
            <w:r>
              <w:t>Cost–benefit asymmetry</w:t>
            </w:r>
          </w:p>
        </w:tc>
        <w:tc>
          <w:tcPr>
            <w:tcW w:type="dxa" w:w="1440"/>
          </w:tcPr>
          <w:p>
            <w:r>
              <w:t>Economic Impact, Productivity, Organisational Impact</w:t>
            </w:r>
          </w:p>
        </w:tc>
        <w:tc>
          <w:tcPr>
            <w:tcW w:type="dxa" w:w="1440"/>
          </w:tcPr>
          <w:p>
            <w:r>
              <w:t>Strong</w:t>
            </w:r>
          </w:p>
        </w:tc>
        <w:tc>
          <w:tcPr>
            <w:tcW w:type="dxa" w:w="1440"/>
          </w:tcPr>
          <w:p>
            <w:r>
              <w:t>See Anchors Compendium</w:t>
            </w:r>
          </w:p>
        </w:tc>
        <w:tc>
          <w:tcPr>
            <w:tcW w:type="dxa" w:w="1440"/>
          </w:tcPr>
          <w:p>
            <w:r>
              <w:t>Sections 4–5</w:t>
            </w:r>
          </w:p>
        </w:tc>
      </w:tr>
      <w:tr>
        <w:tc>
          <w:tcPr>
            <w:tcW w:type="dxa" w:w="1440"/>
          </w:tcPr>
          <w:p>
            <w:r>
              <w:t>6</w:t>
            </w:r>
          </w:p>
        </w:tc>
        <w:tc>
          <w:tcPr>
            <w:tcW w:type="dxa" w:w="1440"/>
          </w:tcPr>
          <w:p>
            <w:r>
              <w:t>Context-dependent effectiveness</w:t>
            </w:r>
          </w:p>
        </w:tc>
        <w:tc>
          <w:tcPr>
            <w:tcW w:type="dxa" w:w="1440"/>
          </w:tcPr>
          <w:p>
            <w:r>
              <w:t>HAI, Productivity, CQTD</w:t>
            </w:r>
          </w:p>
        </w:tc>
        <w:tc>
          <w:tcPr>
            <w:tcW w:type="dxa" w:w="1440"/>
          </w:tcPr>
          <w:p>
            <w:r>
              <w:t>Strong</w:t>
            </w:r>
          </w:p>
        </w:tc>
        <w:tc>
          <w:tcPr>
            <w:tcW w:type="dxa" w:w="1440"/>
          </w:tcPr>
          <w:p>
            <w:r>
              <w:t>See Anchors Compendium</w:t>
            </w:r>
          </w:p>
        </w:tc>
        <w:tc>
          <w:tcPr>
            <w:tcW w:type="dxa" w:w="1440"/>
          </w:tcPr>
          <w:p>
            <w:r>
              <w:t>Sections 4–5</w:t>
            </w:r>
          </w:p>
        </w:tc>
      </w:tr>
      <w:tr>
        <w:tc>
          <w:tcPr>
            <w:tcW w:type="dxa" w:w="1440"/>
          </w:tcPr>
          <w:p>
            <w:r>
              <w:t>7</w:t>
            </w:r>
          </w:p>
        </w:tc>
        <w:tc>
          <w:tcPr>
            <w:tcW w:type="dxa" w:w="1440"/>
          </w:tcPr>
          <w:p>
            <w:r>
              <w:t>Multi-turn fragility</w:t>
            </w:r>
          </w:p>
        </w:tc>
        <w:tc>
          <w:tcPr>
            <w:tcW w:type="dxa" w:w="1440"/>
          </w:tcPr>
          <w:p>
            <w:r>
              <w:t>HAI, CQTD, Cognitive Load</w:t>
            </w:r>
          </w:p>
        </w:tc>
        <w:tc>
          <w:tcPr>
            <w:tcW w:type="dxa" w:w="1440"/>
          </w:tcPr>
          <w:p>
            <w:r>
              <w:t>Strong</w:t>
            </w:r>
          </w:p>
        </w:tc>
        <w:tc>
          <w:tcPr>
            <w:tcW w:type="dxa" w:w="1440"/>
          </w:tcPr>
          <w:p>
            <w:r>
              <w:t>See Anchors Compendium</w:t>
            </w:r>
          </w:p>
        </w:tc>
        <w:tc>
          <w:tcPr>
            <w:tcW w:type="dxa" w:w="1440"/>
          </w:tcPr>
          <w:p>
            <w:r>
              <w:t>Sections 4–5</w:t>
            </w:r>
          </w:p>
        </w:tc>
      </w:tr>
      <w:tr>
        <w:tc>
          <w:tcPr>
            <w:tcW w:type="dxa" w:w="1440"/>
          </w:tcPr>
          <w:p>
            <w:r>
              <w:t>8</w:t>
            </w:r>
          </w:p>
        </w:tc>
        <w:tc>
          <w:tcPr>
            <w:tcW w:type="dxa" w:w="1440"/>
          </w:tcPr>
          <w:p>
            <w:r>
              <w:t>Adoption-intensity moderation</w:t>
            </w:r>
          </w:p>
        </w:tc>
        <w:tc>
          <w:tcPr>
            <w:tcW w:type="dxa" w:w="1440"/>
          </w:tcPr>
          <w:p>
            <w:r>
              <w:t>Organisational Impact, Productivity, Perception &amp; Trust</w:t>
            </w:r>
          </w:p>
        </w:tc>
        <w:tc>
          <w:tcPr>
            <w:tcW w:type="dxa" w:w="1440"/>
          </w:tcPr>
          <w:p>
            <w:r>
              <w:t>Strong</w:t>
            </w:r>
          </w:p>
        </w:tc>
        <w:tc>
          <w:tcPr>
            <w:tcW w:type="dxa" w:w="1440"/>
          </w:tcPr>
          <w:p>
            <w:r>
              <w:t>See Anchors Compendium</w:t>
            </w:r>
          </w:p>
        </w:tc>
        <w:tc>
          <w:tcPr>
            <w:tcW w:type="dxa" w:w="1440"/>
          </w:tcPr>
          <w:p>
            <w:r>
              <w:t>Sections 4–5</w:t>
            </w:r>
          </w:p>
        </w:tc>
      </w:tr>
    </w:tbl>
    <w:p>
      <w:pPr>
        <w:pStyle w:val="Heading1"/>
      </w:pPr>
      <w:r>
        <w:t>6. References</w:t>
      </w:r>
    </w:p>
    <w:p>
      <w:r>
        <w:t>Placeholder: references must be regenerated from the evidence matrix and verified bibkeys before manuscript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