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4.4 — Emerging Themes in Code Quality and Technical Debt</w:t>
      </w:r>
    </w:p>
    <w:p>
      <w:r>
        <w:rPr>
          <w:b/>
        </w:rPr>
        <w:t xml:space="preserve">Source-control note. </w:t>
      </w:r>
      <w:r>
        <w:t>This artefact was generated from the NB1_CQTD_CORE corpus and verified against NB1_CQTD_CORE.bib. It treats post-2023 concentration as the criterion for emergence, while using only themes supported by at least three recent corpus papers.</w:t>
      </w:r>
    </w:p>
    <w:p>
      <w:pPr>
        <w:pStyle w:val="Heading1"/>
      </w:pPr>
      <w:r>
        <w:t>1. Overview</w:t>
      </w:r>
    </w:p>
    <w:p>
      <w:r>
        <w:t>Across the 77-paper CQTD corpus, the most recent studies do not simply add further evidence to already stabilised claims about functional correctness, vulnerability rates, or maintainability. They shift the analytical centre of gravity from single generated snippets toward systems of production: repositories, dependency environments, multi-turn interactions, tool chains, organisational routines, and developer competencies. The emerging-themes lens is therefore not a popularity filter. It identifies areas where empirical evidence is concentrated after 2023 and where the claims remain insufficiently settled to be framed as consensus. [1, 2, 3, 4]</w:t>
      </w:r>
    </w:p>
    <w:p>
      <w:r>
        <w:t>The resulting themes are best read as signals of where the field is likely to move over the next two to three years. They suggest that code quality and technical debt research in AI-assisted programming is becoming less concerned with whether models can produce plausible code and more concerned with how AI-generated artefacts behave after integration, review, execution, modification, and organisational adoption. The papers published since 2024 also show a methodological broadening: benchmark studies remain important, but they are increasingly complemented by repository-level, security-oriented, human-comparison, and interaction-process evidence. [5, 6, 7, 8, 9]</w:t>
      </w:r>
    </w:p>
    <w:p>
      <w:pPr>
        <w:pStyle w:val="Heading1"/>
      </w:pPr>
      <w:r>
        <w:t>2. Emerging themes</w:t>
      </w:r>
    </w:p>
    <w:p>
      <w:pPr>
        <w:pStyle w:val="Heading2"/>
      </w:pPr>
      <w:r>
        <w:t>2.1 Agentic autonomy and safety boundaries</w:t>
      </w:r>
    </w:p>
    <w:p>
      <w:r>
        <w:t>The first emerging theme is the movement from passive code suggestion toward agentic autonomy, in which AI systems plan, generate, modify, test, and sometimes coordinate tool use across larger development tasks. The CQTD implication is that quality risk migrates from isolated wrong answers to boundary failures: agents may choose unsafe actions, over-trust generated intermediate artefacts, propagate earlier mistakes, or obscure the point at which human validation should intervene. This theme is emerging now because model capability and surrounding orchestration frameworks have made autonomous or semi-autonomous workflows empirically observable rather than merely speculative. [10, 4, 11, 3]</w:t>
      </w:r>
    </w:p>
    <w:p>
      <w:r>
        <w:t>Quantitative anchors remain heterogeneous rather than cumulative. Representative recent anchors include 89.1% (percentage / rate) in liu_debt_2026; 89.1% code smells; 24.2% long-term survival; 41.1% security-flaw survival (explicit metric) in liu_debt_2026; 30.7% (time-to-completion) in borg_echoes_2026. These figures should be used as illustrative measurement points, not as pooled estimates, because they refer to different tasks, denominators, and quality constructs. [3, 3, 4]</w:t>
      </w:r>
    </w:p>
    <w:p>
      <w:r>
        <w:t>The open question is not only how much autonomy improves productivity, but what safety contract should govern autonomy in software engineering. Future work needs to determine which tasks can be delegated, which require mandatory human gates, and how repository state, tests, dependency constraints, and security policies should be represented to an agent before it acts. [4, 11, 3]</w:t>
      </w:r>
    </w:p>
    <w:p>
      <w:pPr>
        <w:pStyle w:val="Heading2"/>
      </w:pPr>
      <w:r>
        <w:t>2.2 Repository-level and long-horizon technical debt</w:t>
      </w:r>
    </w:p>
    <w:p>
      <w:r>
        <w:t>A second theme concerns technical debt as an accumulation process rather than a one-off property of generated code. Recent work increasingly treats AI assistance as something that can alter repository trajectories: the assistant may introduce small inconsistencies, duplicate patterns, brittle abstractions, under-tested paths, or maintainability problems that are not visible in pass/fail benchmark evaluation. This theme is emerging because the field is moving beyond isolated programming tasks and because enough AI-generated code is now entering realistic development workflows to make longitudinal debt plausible as an empirical object. [3, 9, 10, 4]</w:t>
      </w:r>
    </w:p>
    <w:p>
      <w:r>
        <w:t>Quantitative anchors remain heterogeneous rather than cumulative. Representative recent anchors include 89.1% (percentage / rate) in liu_debt_2026; 89.1% code smells; 24.2% long-term survival; 41.1% security-flaw survival (explicit metric) in liu_debt_2026; 30.7% (time-to-completion) in borg_echoes_2026. These figures should be used as illustrative measurement points, not as pooled estimates, because they refer to different tasks, denominators, and quality constructs. [3, 3, 4]</w:t>
      </w:r>
    </w:p>
    <w:p>
      <w:r>
        <w:t>The key uncertainty is how to measure debt introduced or amplified by AI when it is interleaved with human edits. The next step is not merely to count defects, but to trace whether generated code raises future modification cost, review complexity, architectural erosion, or security remediation effort over time. [9, 10, 4]</w:t>
      </w:r>
    </w:p>
    <w:p>
      <w:pPr>
        <w:pStyle w:val="Heading2"/>
      </w:pPr>
      <w:r>
        <w:t>2.3 Reproducibility and dependency ecosystem fragility</w:t>
      </w:r>
    </w:p>
    <w:p>
      <w:r>
        <w:t>A third theme is the fragility of reproducibility when AI-generated code depends on external packages, versioned APIs, build configurations, or environment assumptions. The quality problem is not reducible to syntax or algorithmic correctness: code can be locally plausible and still fail because the dependency ecosystem has shifted, because the model hallucinates library behaviour, or because the generated solution lacks executable environmental specification. This concern is emerging now because recent empirical studies increasingly evaluate code in execution contexts rather than only through surface inspection. [12, 13, 2, 11]</w:t>
      </w:r>
    </w:p>
    <w:p>
      <w:r>
        <w:t>Quantitative anchors remain heterogeneous rather than cumulative. Representative recent anchors include 40% (success rate) in ovi_benchmarking_2024; 3.5 (normalised or absolute count) in chen_evaluating_2024; 85 % (per-turn quality change) in res_enhancing_2024. These figures should be used as illustrative measurement points, not as pooled estimates, because they refer to different tasks, denominators, and quality constructs. [13, 2, 12]</w:t>
      </w:r>
    </w:p>
    <w:p>
      <w:r>
        <w:t>This theme raises questions about what should count as a correct AI-generated solution. If reproducibility depends on package versions, hidden files, test harnesses, and build environments, then benchmark reporting must move toward executable artefact packages and dependency-aware evaluation. [13, 2, 11]</w:t>
      </w:r>
    </w:p>
    <w:p>
      <w:pPr>
        <w:pStyle w:val="Heading2"/>
      </w:pPr>
      <w:r>
        <w:t>2.4 Prompt engineering as a professional quality practice</w:t>
      </w:r>
    </w:p>
    <w:p>
      <w:r>
        <w:t>Prompt engineering is emerging in the CQTD corpus not as a superficial trick for obtaining better answers, but as a professional practice that shapes quality outcomes. Recent papers treat prompts, constraints, examples, iterative refinement, and developer instructions as part of the socio-technical production of code. The theme is emerging now because empirical evidence increasingly shows that the same model can yield materially different correctness, maintainability, and security outcomes under different interaction designs. [1, 12, 14, 15]</w:t>
      </w:r>
    </w:p>
    <w:p>
      <w:r>
        <w:t>Quantitative anchors remain heterogeneous rather than cumulative. Representative recent anchors include 20.6% generated codes solved target problem (explicit metric) in idrisov_program_2024; 50.0% (percentage / rate) in idrisov_program_2024; 82.6% (code quality) in chen_impact_2024. These figures should be used as illustrative measurement points, not as pooled estimates, because they refer to different tasks, denominators, and quality constructs. [1, 1, 14]</w:t>
      </w:r>
    </w:p>
    <w:p>
      <w:r>
        <w:t>The open question is whether prompt skill should remain an informal craft or become an explicit quality-assurance competency. This includes how to teach developers to specify constraints, elicit tests, require explanations without over-trusting them, and document AI interaction histories for later maintenance. [12, 14, 15]</w:t>
      </w:r>
    </w:p>
    <w:p>
      <w:pPr>
        <w:pStyle w:val="Heading2"/>
      </w:pPr>
      <w:r>
        <w:t>2.5 Maintenance burden and post-generation modification effort</w:t>
      </w:r>
    </w:p>
    <w:p>
      <w:r>
        <w:t>A fifth theme is the maintenance burden created after generation. Earlier work often framed AI assistance around immediate task completion, whereas recent work increasingly asks what happens when generated code must be debugged, adapted, reviewed, extended, or merged. The CQTD concern is that apparent speed gains can be offset by hidden effort downstream, especially when developers must understand unfamiliar generated logic or repair defects whose causes are not transparent. [8, 3, 9, 4]</w:t>
      </w:r>
    </w:p>
    <w:p>
      <w:r>
        <w:t>Quantitative anchors remain heterogeneous rather than cumulative. Representative recent anchors include 89.1% (percentage / rate) in liu_debt_2026; 89.1% code smells; 24.2% long-term survival; 41.1% security-flaw survival (explicit metric) in liu_debt_2026; 30.7% (time-to-completion) in borg_echoes_2026. These figures should be used as illustrative measurement points, not as pooled estimates, because they refer to different tasks, denominators, and quality constructs. [3, 3, 4]</w:t>
      </w:r>
    </w:p>
    <w:p>
      <w:r>
        <w:t>The unresolved issue is whether AI assistance redistributes effort rather than reducing it. Future research should connect generation-time metrics with post-generation modification, code review, test-writing, and defect-remediation data, because these are the locations where technical debt becomes operationally visible. [3, 9, 4]</w:t>
      </w:r>
    </w:p>
    <w:p>
      <w:pPr>
        <w:pStyle w:val="Heading2"/>
      </w:pPr>
      <w:r>
        <w:t>2.6 Multi-model and tool-mediated interaction dynamics</w:t>
      </w:r>
    </w:p>
    <w:p>
      <w:r>
        <w:t>Another emerging theme is that AI-assisted programming increasingly involves interaction among multiple models, tools, roles, or stages. Planner–executor patterns, benchmark comparisons across model families, tool-using agents, and iterative repair loops suggest that quality depends on interaction architecture rather than model identity alone. This matters for CQTD because errors can be introduced, corrected, amplified, or hidden at different stages of a workflow. [5, 13, 10, 4]</w:t>
      </w:r>
    </w:p>
    <w:p>
      <w:r>
        <w:t>Quantitative anchors remain heterogeneous rather than cumulative. Representative recent anchors include 25% (problem share) in bayram_comparative_2025; 95.1% (success rate) in bayram_comparative_2025; 40% (success rate) in ovi_benchmarking_2024. These figures should be used as illustrative measurement points, not as pooled estimates, because they refer to different tasks, denominators, and quality constructs. [5, 5, 13]</w:t>
      </w:r>
    </w:p>
    <w:p>
      <w:r>
        <w:t>The open questions concern accountability and measurement. When one model proposes a plan, another writes code, a tool executes tests, and a developer accepts the final output, it becomes difficult to attribute defects or quality improvements to a single actor. Evaluation frameworks therefore need to model chains of responsibility and not merely compare model outputs. [13, 10, 4]</w:t>
      </w:r>
    </w:p>
    <w:p>
      <w:pPr>
        <w:pStyle w:val="Heading2"/>
      </w:pPr>
      <w:r>
        <w:t>2.7 Verification literacy as developer competency</w:t>
      </w:r>
    </w:p>
    <w:p>
      <w:r>
        <w:t>Verification literacy is emerging as a necessary developer competency in response to the limits of AI-generated code. Recent CQTD studies show that developers cannot rely on syntactic plausibility, model confidence, or explanation fluency as substitutes for validation. Verification literacy includes the ability to design tests, inspect security-sensitive logic, recognise hallucinated APIs, interpret static-analysis warnings, and decide when human review should override automation. [6, 7, 16, 8]</w:t>
      </w:r>
    </w:p>
    <w:p>
      <w:r>
        <w:t>Quantitative anchors remain heterogeneous rather than cumulative. Representative recent anchors include 3.1 (normalised or absolute count) in tambon_bugs_2024; approximately 40% vulnerable programs (implicit / operational security remediation cost) in pearce_asleep_2025; 0.64% (percentage / rate) in fu_security_2025. These figures should be used as illustrative measurement points, not as pooled estimates, because they refer to different tasks, denominators, and quality constructs. [7, 6, 16]</w:t>
      </w:r>
    </w:p>
    <w:p>
      <w:r>
        <w:t>The central open question is how much verification literacy is enough for different developer populations. Novices, experts, security specialists, and professional maintainers may require different validation scaffolds. This theme also complicates claims about democratisation: AI may broaden access to code production while simultaneously increasing the importance of validation expertise. [7, 16, 8]</w:t>
      </w:r>
    </w:p>
    <w:p>
      <w:pPr>
        <w:pStyle w:val="Heading2"/>
      </w:pPr>
      <w:r>
        <w:t>2.8 Industrial deployment and organisational adaptation</w:t>
      </w:r>
    </w:p>
    <w:p>
      <w:r>
        <w:t>Industrial deployment is becoming a CQTD theme because code quality is shaped by organisational routines, not only by model accuracy. Recent papers point toward adoption patterns in which AI tools interact with code review norms, testing infrastructure, security policies, onboarding practices, and managerial expectations. The theme is emerging because organisations are moving from experimentation to routinised use, creating evidence about adaptation rather than isolated tool performance. [14, 3, 4, 9]</w:t>
      </w:r>
    </w:p>
    <w:p>
      <w:r>
        <w:t>Quantitative anchors remain heterogeneous rather than cumulative. Representative recent anchors include 89.1% (percentage / rate) in liu_debt_2026; 89.1% code smells; 24.2% long-term survival; 41.1% security-flaw survival (explicit metric) in liu_debt_2026; 30.7% (time-to-completion) in borg_echoes_2026. These figures should be used as illustrative measurement points, not as pooled estimates, because they refer to different tasks, denominators, and quality constructs. [3, 3, 4]</w:t>
      </w:r>
    </w:p>
    <w:p>
      <w:r>
        <w:t>Future work should ask how organisations configure guardrails, audit trails, review policies, and accountability mechanisms around AI-assisted code. The central empirical gap is the relationship between local governance arrangements and measurable quality outcomes. [3, 4, 9]</w:t>
      </w:r>
    </w:p>
    <w:p>
      <w:pPr>
        <w:pStyle w:val="Heading2"/>
      </w:pPr>
      <w:r>
        <w:t>2.9 Skill amplification versus deskilling</w:t>
      </w:r>
    </w:p>
    <w:p>
      <w:r>
        <w:t>The final emerging theme is the tension between skill amplification and deskilling. AI assistance can amplify experienced developers by accelerating search, boilerplate generation, debugging, and exploration. At the same time, it may weaken code comprehension, reduce practice with debugging, or encourage acceptance of superficially plausible code. This theme is emerging because recent empirical work increasingly includes human comparison, interaction, and learning-oriented evidence rather than only benchmark scores. [14, 15, 8, 5]</w:t>
      </w:r>
    </w:p>
    <w:p>
      <w:r>
        <w:t>Quantitative anchors remain heterogeneous rather than cumulative. Representative recent anchors include 25% (problem share) in bayram_comparative_2025; 95.1% (success rate) in bayram_comparative_2025; 82.6% (code quality) in chen_impact_2024. These figures should be used as illustrative measurement points, not as pooled estimates, because they refer to different tasks, denominators, and quality constructs. [5, 5, 14]</w:t>
      </w:r>
    </w:p>
    <w:p>
      <w:r>
        <w:t>The unresolved question is longitudinal: whether developers become better engineers through augmented practice or more dependent reviewers of opaque outputs. CQTD research should therefore connect code quality outcomes with developer learning, calibration, and retention of verification skills over time. [15, 8, 5]</w:t>
      </w:r>
    </w:p>
    <w:p>
      <w:pPr>
        <w:pStyle w:val="Heading1"/>
      </w:pPr>
      <w:r>
        <w:t>3. Meta-observations on emerging themes</w:t>
      </w:r>
    </w:p>
    <w:p>
      <w:r>
        <w:t>Taken together, the emerging themes show that the field is becoming predominantly socio-technical. The technical object remains code quality, but the relevant causal mechanisms increasingly include interaction design, developer expertise, repository context, organisational governance, and validation practices. This is a sign of maturation: the corpus is moving from model-centred evaluation toward workflow-centred explanation. [3, 8, 14, 4]</w:t>
      </w:r>
    </w:p>
    <w:p>
      <w:r>
        <w:t>At the same time, the evidence base has not fully stabilised. Recent studies use different benchmarks, units of analysis, tools, languages, and evaluation protocols. This diversity is productive for discovery, but it limits synthesis. The manuscript should therefore avoid presenting these themes as settled findings; they are better framed as empirically grounded research directions that connect current contradictions to future inquiry. [5, 13, 7, 9]</w:t>
      </w:r>
    </w:p>
    <w:p>
      <w:pPr>
        <w:pStyle w:val="Heading1"/>
      </w:pPr>
      <w:r>
        <w:t>4. Tensions among emerging themes</w:t>
      </w:r>
    </w:p>
    <w:p>
      <w:r>
        <w:t>The most important tension is between increasing autonomy and increasing verification responsibility. Agentic systems promise to reduce developer workload by taking on planning, editing, and testing activities, yet the same autonomy makes it harder for developers to know what must be checked and where errors entered the workflow. The field is therefore moving in two directions at once: toward more delegation and toward stronger validation literacy. [10, 4, 6, 16]</w:t>
      </w:r>
    </w:p>
    <w:p>
      <w:r>
        <w:t>A second tension concerns short-term productivity versus long-term debt. AI assistance may accelerate local task completion while increasing the risk of repository-level inconsistencies, weak tests, fragile dependencies, or post-generation comprehension costs. The manuscript should treat this not as a contradiction to be eliminated, but as a core interpretive axis: AI can improve immediate throughput and still create deferred quality liabilities. [14, 3, 9, 8]</w:t>
      </w:r>
    </w:p>
    <w:p>
      <w:r>
        <w:t>A third tension lies between democratisation and professionalisation. AI tools may allow more people to produce working code, but the emerging CQTD evidence suggests that safe and maintainable use requires specialised practices: prompt specification, test design, security review, dependency checking, and organisational governance. This creates a research agenda around who benefits from AI assistance and under what validation conditions. [15, 1, 7, 11]</w:t>
      </w:r>
    </w:p>
    <w:p>
      <w:pPr>
        <w:pStyle w:val="Heading1"/>
      </w:pPr>
      <w:r>
        <w:t>5. Manuscript placement implications</w:t>
      </w:r>
    </w:p>
    <w:p>
      <w:r>
        <w:t>For Discussion Section 5, the strongest deployment is interpretive rather than enumerative. The themes of agentic autonomy, repository-level debt, maintenance burden, verification literacy, and skill amplification versus deskilling should be used to explain why the CQTD literature is shifting from “Can AI generate correct code?” to “Under what socio-technical conditions does AI-generated code remain safe, maintainable, and governable?” These themes directly extend the consensus and contradiction maps by showing where unresolved findings are becoming future research programmes.</w:t>
      </w:r>
    </w:p>
    <w:p>
      <w:r>
        <w:t>The Future Work section should foreground reproducibility and dependency fragility, multi-model interaction dynamics, industrial deployment, and longitudinal skill effects, because these require new datasets, longer observation windows, and richer instrumentation than most current studies provide. The Introduction should mention agentic autonomy, repository-level technical debt, and verification literacy briefly as motivation: they make clear why CQTD is no longer a narrow benchmark topic, but a central software-engineering concern for AI-assisted development.</w:t>
      </w:r>
    </w:p>
    <w:p>
      <w:pPr>
        <w:pStyle w:val="Heading1"/>
      </w:pPr>
      <w:r>
        <w:t>6. Source-control evidence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Theme</w:t>
            </w:r>
          </w:p>
        </w:tc>
        <w:tc>
          <w:tcPr>
            <w:tcW w:type="dxa" w:w="1728"/>
          </w:tcPr>
          <w:p>
            <w:r>
              <w:t>Supporting bibkeys</w:t>
            </w:r>
          </w:p>
        </w:tc>
        <w:tc>
          <w:tcPr>
            <w:tcW w:type="dxa" w:w="1728"/>
          </w:tcPr>
          <w:p>
            <w:r>
              <w:t>Recent share</w:t>
            </w:r>
          </w:p>
        </w:tc>
        <w:tc>
          <w:tcPr>
            <w:tcW w:type="dxa" w:w="1728"/>
          </w:tcPr>
          <w:p>
            <w:r>
              <w:t>Construct role</w:t>
            </w:r>
          </w:p>
        </w:tc>
        <w:tc>
          <w:tcPr>
            <w:tcW w:type="dxa" w:w="1728"/>
          </w:tcPr>
          <w:p>
            <w:r>
              <w:t>Use in prose</w:t>
            </w:r>
          </w:p>
        </w:tc>
      </w:tr>
      <w:tr>
        <w:tc>
          <w:tcPr>
            <w:tcW w:type="dxa" w:w="1728"/>
          </w:tcPr>
          <w:p>
            <w:r>
              <w:t>Agentic autonomy and safety boundaries</w:t>
            </w:r>
          </w:p>
        </w:tc>
        <w:tc>
          <w:tcPr>
            <w:tcW w:type="dxa" w:w="1728"/>
          </w:tcPr>
          <w:p>
            <w:r>
              <w:t>dozono_large_2026, borg_echoes_2026, schreiber_security_2026, liu_debt_2026</w:t>
            </w:r>
          </w:p>
        </w:tc>
        <w:tc>
          <w:tcPr>
            <w:tcW w:type="dxa" w:w="1728"/>
          </w:tcPr>
          <w:p>
            <w:r>
              <w:t>100% post-2023</w:t>
            </w:r>
          </w:p>
        </w:tc>
        <w:tc>
          <w:tcPr>
            <w:tcW w:type="dxa" w:w="1728"/>
          </w:tcPr>
          <w:p>
            <w:r>
              <w:t>Emerging CQTD direction</w:t>
            </w:r>
          </w:p>
        </w:tc>
        <w:tc>
          <w:tcPr>
            <w:tcW w:type="dxa" w:w="1728"/>
          </w:tcPr>
          <w:p>
            <w:r>
              <w:t>Subsection 2.1</w:t>
            </w:r>
          </w:p>
        </w:tc>
      </w:tr>
      <w:tr>
        <w:tc>
          <w:tcPr>
            <w:tcW w:type="dxa" w:w="1728"/>
          </w:tcPr>
          <w:p>
            <w:r>
              <w:t>Repository-level and long-horizon technical debt</w:t>
            </w:r>
          </w:p>
        </w:tc>
        <w:tc>
          <w:tcPr>
            <w:tcW w:type="dxa" w:w="1728"/>
          </w:tcPr>
          <w:p>
            <w:r>
              <w:t>liu_debt_2026, vangala_ai-generated_2026, dozono_large_2026, borg_echoes_2026</w:t>
            </w:r>
          </w:p>
        </w:tc>
        <w:tc>
          <w:tcPr>
            <w:tcW w:type="dxa" w:w="1728"/>
          </w:tcPr>
          <w:p>
            <w:r>
              <w:t>100% post-2023</w:t>
            </w:r>
          </w:p>
        </w:tc>
        <w:tc>
          <w:tcPr>
            <w:tcW w:type="dxa" w:w="1728"/>
          </w:tcPr>
          <w:p>
            <w:r>
              <w:t>Emerging CQTD direction</w:t>
            </w:r>
          </w:p>
        </w:tc>
        <w:tc>
          <w:tcPr>
            <w:tcW w:type="dxa" w:w="1728"/>
          </w:tcPr>
          <w:p>
            <w:r>
              <w:t>Subsection 2.2</w:t>
            </w:r>
          </w:p>
        </w:tc>
      </w:tr>
      <w:tr>
        <w:tc>
          <w:tcPr>
            <w:tcW w:type="dxa" w:w="1728"/>
          </w:tcPr>
          <w:p>
            <w:r>
              <w:t>Reproducibility and dependency ecosystem fragility</w:t>
            </w:r>
          </w:p>
        </w:tc>
        <w:tc>
          <w:tcPr>
            <w:tcW w:type="dxa" w:w="1728"/>
          </w:tcPr>
          <w:p>
            <w:r>
              <w:t>res_enhancing_2024, ovi_benchmarking_2024, chen_evaluating_2024, schreiber_security_2026</w:t>
            </w:r>
          </w:p>
        </w:tc>
        <w:tc>
          <w:tcPr>
            <w:tcW w:type="dxa" w:w="1728"/>
          </w:tcPr>
          <w:p>
            <w:r>
              <w:t>100% post-2023</w:t>
            </w:r>
          </w:p>
        </w:tc>
        <w:tc>
          <w:tcPr>
            <w:tcW w:type="dxa" w:w="1728"/>
          </w:tcPr>
          <w:p>
            <w:r>
              <w:t>Emerging CQTD direction</w:t>
            </w:r>
          </w:p>
        </w:tc>
        <w:tc>
          <w:tcPr>
            <w:tcW w:type="dxa" w:w="1728"/>
          </w:tcPr>
          <w:p>
            <w:r>
              <w:t>Subsection 2.3</w:t>
            </w:r>
          </w:p>
        </w:tc>
      </w:tr>
      <w:tr>
        <w:tc>
          <w:tcPr>
            <w:tcW w:type="dxa" w:w="1728"/>
          </w:tcPr>
          <w:p>
            <w:r>
              <w:t>Prompt engineering as a professional quality practice</w:t>
            </w:r>
          </w:p>
        </w:tc>
        <w:tc>
          <w:tcPr>
            <w:tcW w:type="dxa" w:w="1728"/>
          </w:tcPr>
          <w:p>
            <w:r>
              <w:t>idrisov_program_2024, res_enhancing_2024, chen_impact_2024, zhong_can_2024</w:t>
            </w:r>
          </w:p>
        </w:tc>
        <w:tc>
          <w:tcPr>
            <w:tcW w:type="dxa" w:w="1728"/>
          </w:tcPr>
          <w:p>
            <w:r>
              <w:t>100% post-2023</w:t>
            </w:r>
          </w:p>
        </w:tc>
        <w:tc>
          <w:tcPr>
            <w:tcW w:type="dxa" w:w="1728"/>
          </w:tcPr>
          <w:p>
            <w:r>
              <w:t>Emerging CQTD direction</w:t>
            </w:r>
          </w:p>
        </w:tc>
        <w:tc>
          <w:tcPr>
            <w:tcW w:type="dxa" w:w="1728"/>
          </w:tcPr>
          <w:p>
            <w:r>
              <w:t>Subsection 2.4</w:t>
            </w:r>
          </w:p>
        </w:tc>
      </w:tr>
      <w:tr>
        <w:tc>
          <w:tcPr>
            <w:tcW w:type="dxa" w:w="1728"/>
          </w:tcPr>
          <w:p>
            <w:r>
              <w:t>Maintenance burden and post-generation modification effort</w:t>
            </w:r>
          </w:p>
        </w:tc>
        <w:tc>
          <w:tcPr>
            <w:tcW w:type="dxa" w:w="1728"/>
          </w:tcPr>
          <w:p>
            <w:r>
              <w:t>kozak_when_2025, liu_debt_2026, vangala_ai-generated_2026, borg_echoes_2026</w:t>
            </w:r>
          </w:p>
        </w:tc>
        <w:tc>
          <w:tcPr>
            <w:tcW w:type="dxa" w:w="1728"/>
          </w:tcPr>
          <w:p>
            <w:r>
              <w:t>100% post-2023</w:t>
            </w:r>
          </w:p>
        </w:tc>
        <w:tc>
          <w:tcPr>
            <w:tcW w:type="dxa" w:w="1728"/>
          </w:tcPr>
          <w:p>
            <w:r>
              <w:t>Emerging CQTD direction</w:t>
            </w:r>
          </w:p>
        </w:tc>
        <w:tc>
          <w:tcPr>
            <w:tcW w:type="dxa" w:w="1728"/>
          </w:tcPr>
          <w:p>
            <w:r>
              <w:t>Subsection 2.5</w:t>
            </w:r>
          </w:p>
        </w:tc>
      </w:tr>
      <w:tr>
        <w:tc>
          <w:tcPr>
            <w:tcW w:type="dxa" w:w="1728"/>
          </w:tcPr>
          <w:p>
            <w:r>
              <w:t>Multi-model and tool-mediated interaction dynamics</w:t>
            </w:r>
          </w:p>
        </w:tc>
        <w:tc>
          <w:tcPr>
            <w:tcW w:type="dxa" w:w="1728"/>
          </w:tcPr>
          <w:p>
            <w:r>
              <w:t>bayram_comparative_2025, ovi_benchmarking_2024, dozono_large_2026, borg_echoes_2026</w:t>
            </w:r>
          </w:p>
        </w:tc>
        <w:tc>
          <w:tcPr>
            <w:tcW w:type="dxa" w:w="1728"/>
          </w:tcPr>
          <w:p>
            <w:r>
              <w:t>100% post-2023</w:t>
            </w:r>
          </w:p>
        </w:tc>
        <w:tc>
          <w:tcPr>
            <w:tcW w:type="dxa" w:w="1728"/>
          </w:tcPr>
          <w:p>
            <w:r>
              <w:t>Emerging CQTD direction</w:t>
            </w:r>
          </w:p>
        </w:tc>
        <w:tc>
          <w:tcPr>
            <w:tcW w:type="dxa" w:w="1728"/>
          </w:tcPr>
          <w:p>
            <w:r>
              <w:t>Subsection 2.6</w:t>
            </w:r>
          </w:p>
        </w:tc>
      </w:tr>
      <w:tr>
        <w:tc>
          <w:tcPr>
            <w:tcW w:type="dxa" w:w="1728"/>
          </w:tcPr>
          <w:p>
            <w:r>
              <w:t>Verification literacy as developer competency</w:t>
            </w:r>
          </w:p>
        </w:tc>
        <w:tc>
          <w:tcPr>
            <w:tcW w:type="dxa" w:w="1728"/>
          </w:tcPr>
          <w:p>
            <w:r>
              <w:t>pearce_asleep_2025, tambon_bugs_2024, fu_security_2025, kozak_when_2025</w:t>
            </w:r>
          </w:p>
        </w:tc>
        <w:tc>
          <w:tcPr>
            <w:tcW w:type="dxa" w:w="1728"/>
          </w:tcPr>
          <w:p>
            <w:r>
              <w:t>100% post-2023</w:t>
            </w:r>
          </w:p>
        </w:tc>
        <w:tc>
          <w:tcPr>
            <w:tcW w:type="dxa" w:w="1728"/>
          </w:tcPr>
          <w:p>
            <w:r>
              <w:t>Emerging CQTD direction</w:t>
            </w:r>
          </w:p>
        </w:tc>
        <w:tc>
          <w:tcPr>
            <w:tcW w:type="dxa" w:w="1728"/>
          </w:tcPr>
          <w:p>
            <w:r>
              <w:t>Subsection 2.7</w:t>
            </w:r>
          </w:p>
        </w:tc>
      </w:tr>
      <w:tr>
        <w:tc>
          <w:tcPr>
            <w:tcW w:type="dxa" w:w="1728"/>
          </w:tcPr>
          <w:p>
            <w:r>
              <w:t>Industrial deployment and organisational adaptation</w:t>
            </w:r>
          </w:p>
        </w:tc>
        <w:tc>
          <w:tcPr>
            <w:tcW w:type="dxa" w:w="1728"/>
          </w:tcPr>
          <w:p>
            <w:r>
              <w:t>chen_impact_2024, liu_debt_2026, borg_echoes_2026, vangala_ai-generated_2026</w:t>
            </w:r>
          </w:p>
        </w:tc>
        <w:tc>
          <w:tcPr>
            <w:tcW w:type="dxa" w:w="1728"/>
          </w:tcPr>
          <w:p>
            <w:r>
              <w:t>100% post-2023</w:t>
            </w:r>
          </w:p>
        </w:tc>
        <w:tc>
          <w:tcPr>
            <w:tcW w:type="dxa" w:w="1728"/>
          </w:tcPr>
          <w:p>
            <w:r>
              <w:t>Emerging CQTD direction</w:t>
            </w:r>
          </w:p>
        </w:tc>
        <w:tc>
          <w:tcPr>
            <w:tcW w:type="dxa" w:w="1728"/>
          </w:tcPr>
          <w:p>
            <w:r>
              <w:t>Subsection 2.8</w:t>
            </w:r>
          </w:p>
        </w:tc>
      </w:tr>
      <w:tr>
        <w:tc>
          <w:tcPr>
            <w:tcW w:type="dxa" w:w="1728"/>
          </w:tcPr>
          <w:p>
            <w:r>
              <w:t>Skill amplification versus deskilling</w:t>
            </w:r>
          </w:p>
        </w:tc>
        <w:tc>
          <w:tcPr>
            <w:tcW w:type="dxa" w:w="1728"/>
          </w:tcPr>
          <w:p>
            <w:r>
              <w:t>chen_impact_2024, zhong_can_2024, kozak_when_2025, bayram_comparative_2025</w:t>
            </w:r>
          </w:p>
        </w:tc>
        <w:tc>
          <w:tcPr>
            <w:tcW w:type="dxa" w:w="1728"/>
          </w:tcPr>
          <w:p>
            <w:r>
              <w:t>100% post-2023</w:t>
            </w:r>
          </w:p>
        </w:tc>
        <w:tc>
          <w:tcPr>
            <w:tcW w:type="dxa" w:w="1728"/>
          </w:tcPr>
          <w:p>
            <w:r>
              <w:t>Emerging CQTD direction</w:t>
            </w:r>
          </w:p>
        </w:tc>
        <w:tc>
          <w:tcPr>
            <w:tcW w:type="dxa" w:w="1728"/>
          </w:tcPr>
          <w:p>
            <w:r>
              <w:t>Subsection 2.9</w:t>
            </w:r>
          </w:p>
        </w:tc>
      </w:tr>
    </w:tbl>
    <w:p>
      <w:pPr>
        <w:pStyle w:val="Heading1"/>
      </w:pPr>
      <w:r>
        <w:t>7. References</w:t>
      </w:r>
    </w:p>
    <w:p>
      <w:r>
        <w:t>[1] Baskhad Idrisov, Tim Schlippe. Program {Code} {Generation} with {Generative} {AIs}. (2024). Bibkey: idrisov_program_2024</w:t>
      </w:r>
    </w:p>
    <w:p>
      <w:r>
        <w:t>[2] Zhi Chen, Lingxiao Jiang. Evaluating {Software} {Development} {Agents}: {Patch} {Patterns}, {Code} {Quality}, and {Issue} {Complexity} in {Real}-{World} {GitHub} {Scenarios}. (2024). Bibkey: chen_evaluating_2024</w:t>
      </w:r>
    </w:p>
    <w:p>
      <w:r>
        <w:t>[3] Yue Liu, Ratnadira Widyasari, Yanjie Zhao, et al.. Debt {Behind} the {AI} {Boom}: {A} {Large}-{Scale} {Empirical} {Study} of {AI}-{Generated} {Code} in the {Wild}. (2026). Bibkey: liu_debt_2026</w:t>
      </w:r>
    </w:p>
    <w:p>
      <w:r>
        <w:t>[4] Markus Borg, Dave Hewett, Nadim Hagatulah, et al.. Echoes of {AI}: {Investigating} the {Downstream} {Effects} of {AI} {Assistants} on {Software} {Maintainability}. (2026). Bibkey: borg_echoes_2026</w:t>
      </w:r>
    </w:p>
    <w:p>
      <w:r>
        <w:t>[5] Ali Bayram, {Menekse Dalveren Gonca Gokce}, {Derawi Mohammad}. Comparative {Analysis} of {AI} {Models} for {Python} {Code} {Generation}: {A} {HumanEval} {Benchmark} {Study}. (2025). Bibkey: bayram_comparative_2025</w:t>
      </w:r>
    </w:p>
    <w:p>
      <w:r>
        <w:t>[6] Hammond Pearce, Baleegh Ahmad, Benjamin Tan, et al.. Asleep at the {Keyboard}? {Assessing} the {Security} of {GitHub} {Copilot}'s {Code} {Contributions}. (2025). Bibkey: pearce_asleep_2025</w:t>
      </w:r>
    </w:p>
    <w:p>
      <w:r>
        <w:t>[7] Florian Tambon, Arghavan Moradi Dakhel, Amin Nikanjam, et al.. Bugs in {Large} {Language} {Models} {Generated} {Code}: {An} {Empirical} {Study}. (2024). Bibkey: tambon_bugs_2024</w:t>
      </w:r>
    </w:p>
    <w:p>
      <w:r>
        <w:t>[8] Matous Kozak, Roshanak Zilouchian Moghaddam, Siva Sivaraman. When {Developer} {Aid} {Becomes} {Security} {Debt}: {A} {Systematic} {Analysis} of {Insecure} {Behaviors} in {LLM} {Coding} {Agents}. (2025). Bibkey: kozak_when_2025</w:t>
      </w:r>
    </w:p>
    <w:p>
      <w:r>
        <w:t>[9] Bhanu Prakash Vangala, Ali Adibifar, Ashish Gehani, et al.. {AI}-{Generated} {Code} {Is} {Not} {Reproducible} ({Yet}): {An} {Empirical} {Study} of {Dependency} {Gaps} in {LLM}-{Based} {Coding} {Agents}. (2026). Bibkey: vangala_ai-generated_2026</w:t>
      </w:r>
    </w:p>
    <w:p>
      <w:r>
        <w:t>[10] Kohei Dozono, Tiago Espinha Gasiba, Andrea Stocco. Large {Language} {Models} for {Secure} {Code} {Assessment}: {A} {Multi}-{Language} {Empirical} {Study}. (2026). Bibkey: dozono_large_2026</w:t>
      </w:r>
    </w:p>
    <w:p>
      <w:r>
        <w:t>[11] Maximilian Schreiber, Pascal Tippe. Security {Vulnerabilities} in {AI}-{Generated} {Code}: {A} {Large}-{Scale} {Analysis} of {Public} {GitHub} {Repositories}. (2026). Bibkey: schreiber_security_2026</w:t>
      </w:r>
    </w:p>
    <w:p>
      <w:r>
        <w:t>[12] Jakub Res, Ivan Homoliak, Martin Pere{\v s}{\'i}ni, et al.. Enhancing {Security} of {AI}-{Based} {Code} {Synthesis} with {GitHub} {Copilot} via {Cheap} and {Efficient} {Prompt}-{Engineering}. (2024). Bibkey: res_enhancing_2024</w:t>
      </w:r>
    </w:p>
    <w:p>
      <w:r>
        <w:t>[13] Md Sultanul Islam Ovi, Nafisa Anjum, Tasmina Haque Bithe, et al.. Benchmarking {ChatGPT}, {Codeium}, and {GitHub} {Copilot}: {A} {Comparative} {Study} of {AI}-{Driven} {Programming} and {Debugging} {Assistants}. (2024). Bibkey: ovi_benchmarking_2024</w:t>
      </w:r>
    </w:p>
    <w:p>
      <w:r>
        <w:t>[14] Tianyi Chen. The {Impact} of {AI}-{Pair} {Programmers} on {Code} {Quality} and {Developer} {Satisfaction}: {Evidence} from {TiMi} studio. (2024). Bibkey: chen_impact_2024</w:t>
      </w:r>
    </w:p>
    <w:p>
      <w:r>
        <w:t>[15] Lily Zhong, Zilong Wang. Can {LLM} {Replace} {Stack} {Overflow}? {A} {Study} on {Robustness} and {Reliability} of {Large} {Language} {Model} {Code} {Generation}. (2024). Bibkey: zhong_can_2024</w:t>
      </w:r>
    </w:p>
    <w:p>
      <w:r>
        <w:t>[16] Yujia Fu, Peng Liang, Amjed Tahir, et al.. Security {Weaknesses} of {Copilot}-{Generated} {Code} in {GitHub} {Projects}: {An} {Empirical} {Study}. (2025). Bibkey: fu_security_2025</w:t>
      </w:r>
    </w:p>
    <w:p>
      <w:pPr>
        <w:pStyle w:val="Heading1"/>
      </w:pPr>
      <w:r>
        <w:t>8. Reference-alignment spot-check</w:t>
      </w:r>
    </w:p>
    <w:p>
      <w:r>
        <w:t>All inline citations use the single numbered sequence generated after prose drafting; the References section contains only cited papers.</w:t>
      </w:r>
    </w:p>
    <w:p>
      <w:r>
        <w:t>Every cited bibkey was verified as a literal key in NB1_CQTD_CORE.bib before drafting.</w:t>
      </w:r>
    </w:p>
    <w:p>
      <w:r>
        <w:t>No theme was retained without at least three supporting post-2023 papers; all retained themes have 100% post-2023 support in the source-control matrix.</w:t>
      </w:r>
    </w:p>
    <w:p>
      <w:r>
        <w:t>No paper anchors more than five theme-level items in the source-control matrix. Highest observed count: 5.</w:t>
      </w:r>
    </w:p>
    <w:p>
      <w:r>
        <w:t>Spot-check: [1] maps to bibkey idrisov_program_2024 and title “Program {Code} {Generation} with {Generative} {AIs}”; [2] maps to chen_evaluating_2024; [3] maps to liu_debt_2026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