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4.5 - CQTD Research Gaps Taxonomy</w:t>
      </w:r>
    </w:p>
    <w:p>
      <w:pPr>
        <w:jc w:val="center"/>
      </w:pPr>
      <w:r>
        <w:rPr>
          <w:i/>
          <w:sz w:val="20"/>
        </w:rPr>
        <w:t>AI-Assisted Programming in Software Engineering - NB1_CQTD_CORE corpus</w:t>
      </w:r>
    </w:p>
    <w:p>
      <w:r>
        <w:t>Corpus: 77 papers. Source basis: Phase 1 methodology/quality inventories, Phase 2 extractive workbooks, and Phase 3 consensus, contradiction, methodological-pattern and empirical-anchor artefacts. Citation rule: all cited bibkeys were verified against NB1_CQTD_CORE.bib before drafting; references are ordered by first appearance and use clean titles from the corpus metadata.</w:t>
      </w:r>
    </w:p>
    <w:p>
      <w:pPr>
        <w:pStyle w:val="Heading1"/>
      </w:pPr>
      <w:r>
        <w:t>1. Overview</w:t>
      </w:r>
    </w:p>
    <w:p>
      <w:r>
        <w:t>A corpus of 77 papers reveals both what the Code Quality and Technical Debt (CQTD) literature has studied and what it has not yet studied adequately. The strongest existing evidence comes from a mixture of benchmark evaluations, repository mining, security assessments, user studies, industrial observations, and agentic/repository-level evaluations. This breadth is valuable because it shows recurring patterns: benchmark success does not automatically translate into repository-level quality, security defects remain context-sensitive, and maintainability debt often becomes visible only when code is embedded in realistic workflows [1], [2], [3], [4].</w:t>
      </w:r>
    </w:p>
    <w:p>
      <w:r>
        <w:t>The purpose of this artefact is therefore not to list generic research wishes. It classifies gaps that are empirically visible in the corpus: either because papers explicitly attempt to address them but at insufficient scale, or because disagreements across study designs reveal a missing comparison. Each gap is translated into a resolvable future-research target: a design, population, measurement strategy, or context that would reduce uncertainty rather than merely add another isolated benchmark.</w:t>
      </w:r>
    </w:p>
    <w:p>
      <w:pPr>
        <w:pStyle w:val="Heading2"/>
      </w:pPr>
      <w:r>
        <w:t>1.1 Source-control evidence matrix</w:t>
      </w:r>
    </w:p>
    <w:p>
      <w:r>
        <w:t>The following matrix was constructed before drafting the prose. It records the gap-paper-finding relationship used for source control. Each cited paper appears with a specific evidentiary role rather than as a decorative citation.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tcPr>
          <w:p>
            <w:pPr>
              <w:spacing w:after="0"/>
            </w:pPr>
            <w:r/>
            <w:r>
              <w:rPr>
                <w:b/>
              </w:rPr>
              <w:t>Gap</w:t>
            </w:r>
          </w:p>
        </w:tc>
        <w:tc>
          <w:tcPr>
            <w:tcW w:type="dxa" w:w="2520"/>
            <w:vAlign w:val="top"/>
          </w:tcPr>
          <w:p>
            <w:pPr>
              <w:spacing w:after="0"/>
            </w:pPr>
            <w:r/>
            <w:r>
              <w:rPr>
                <w:b/>
              </w:rPr>
              <w:t>Category</w:t>
            </w:r>
          </w:p>
        </w:tc>
        <w:tc>
          <w:tcPr>
            <w:tcW w:type="dxa" w:w="2520"/>
            <w:vAlign w:val="top"/>
          </w:tcPr>
          <w:p>
            <w:pPr>
              <w:spacing w:after="0"/>
            </w:pPr>
            <w:r/>
            <w:r>
              <w:rPr>
                <w:b/>
              </w:rPr>
              <w:t>Evidence papers used</w:t>
            </w:r>
          </w:p>
        </w:tc>
        <w:tc>
          <w:tcPr>
            <w:tcW w:type="dxa" w:w="2520"/>
            <w:vAlign w:val="top"/>
          </w:tcPr>
          <w:p>
            <w:pPr>
              <w:spacing w:after="0"/>
            </w:pPr>
            <w:r/>
            <w:r>
              <w:rPr>
                <w:b/>
              </w:rPr>
              <w:t>Evidence role</w:t>
            </w:r>
          </w:p>
        </w:tc>
      </w:tr>
      <w:tr>
        <w:tc>
          <w:tcPr>
            <w:tcW w:type="dxa" w:w="2520"/>
            <w:vAlign w:val="top"/>
          </w:tcPr>
          <w:p>
            <w:pPr>
              <w:spacing w:after="0"/>
            </w:pPr>
            <w:r/>
            <w:r>
              <w:rPr>
                <w:b w:val="0"/>
              </w:rPr>
              <w:t>2.1.1 Longitudinal multi-organisation follow-up</w:t>
            </w:r>
          </w:p>
        </w:tc>
        <w:tc>
          <w:tcPr>
            <w:tcW w:type="dxa" w:w="2520"/>
            <w:vAlign w:val="top"/>
          </w:tcPr>
          <w:p>
            <w:pPr>
              <w:spacing w:after="0"/>
            </w:pPr>
            <w:r/>
            <w:r>
              <w:rPr>
                <w:b w:val="0"/>
              </w:rPr>
              <w:t>Methodological</w:t>
            </w:r>
          </w:p>
        </w:tc>
        <w:tc>
          <w:tcPr>
            <w:tcW w:type="dxa" w:w="2520"/>
            <w:vAlign w:val="top"/>
          </w:tcPr>
          <w:p>
            <w:pPr>
              <w:spacing w:after="0"/>
            </w:pPr>
            <w:r/>
            <w:r>
              <w:rPr>
                <w:b w:val="0"/>
              </w:rPr>
              <w:t>liu_debt_2026; borg_echoes_2026; chen_impact_2024; sajadi_how_2025</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2.1.2 Large RCTs with varied expertise</w:t>
            </w:r>
          </w:p>
        </w:tc>
        <w:tc>
          <w:tcPr>
            <w:tcW w:type="dxa" w:w="2520"/>
            <w:vAlign w:val="top"/>
          </w:tcPr>
          <w:p>
            <w:pPr>
              <w:spacing w:after="0"/>
            </w:pPr>
            <w:r/>
            <w:r>
              <w:rPr>
                <w:b w:val="0"/>
              </w:rPr>
              <w:t>Methodological</w:t>
            </w:r>
          </w:p>
        </w:tc>
        <w:tc>
          <w:tcPr>
            <w:tcW w:type="dxa" w:w="2520"/>
            <w:vAlign w:val="top"/>
          </w:tcPr>
          <w:p>
            <w:pPr>
              <w:spacing w:after="0"/>
            </w:pPr>
            <w:r/>
            <w:r>
              <w:rPr>
                <w:b w:val="0"/>
              </w:rPr>
              <w:t>sandoval_lost_2022; butler_dear_2024; tang_developer_2024; siddiq_quality_2024; asare_user-centered_2024</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2.1.3 Post-deployment monitoring</w:t>
            </w:r>
          </w:p>
        </w:tc>
        <w:tc>
          <w:tcPr>
            <w:tcW w:type="dxa" w:w="2520"/>
            <w:vAlign w:val="top"/>
          </w:tcPr>
          <w:p>
            <w:pPr>
              <w:spacing w:after="0"/>
            </w:pPr>
            <w:r/>
            <w:r>
              <w:rPr>
                <w:b w:val="0"/>
              </w:rPr>
              <w:t>Methodological</w:t>
            </w:r>
          </w:p>
        </w:tc>
        <w:tc>
          <w:tcPr>
            <w:tcW w:type="dxa" w:w="2520"/>
            <w:vAlign w:val="top"/>
          </w:tcPr>
          <w:p>
            <w:pPr>
              <w:spacing w:after="0"/>
            </w:pPr>
            <w:r/>
            <w:r>
              <w:rPr>
                <w:b w:val="0"/>
              </w:rPr>
              <w:t>chen_evaluating_2024; fu_security_2025; vangala_ai-generated_2026; abbassi_recatcher_2025</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2.1.4 Real-world evaluation protocols</w:t>
            </w:r>
          </w:p>
        </w:tc>
        <w:tc>
          <w:tcPr>
            <w:tcW w:type="dxa" w:w="2520"/>
            <w:vAlign w:val="top"/>
          </w:tcPr>
          <w:p>
            <w:pPr>
              <w:spacing w:after="0"/>
            </w:pPr>
            <w:r/>
            <w:r>
              <w:rPr>
                <w:b w:val="0"/>
              </w:rPr>
              <w:t>Methodological</w:t>
            </w:r>
          </w:p>
        </w:tc>
        <w:tc>
          <w:tcPr>
            <w:tcW w:type="dxa" w:w="2520"/>
            <w:vAlign w:val="top"/>
          </w:tcPr>
          <w:p>
            <w:pPr>
              <w:spacing w:after="0"/>
            </w:pPr>
            <w:r/>
            <w:r>
              <w:rPr>
                <w:b w:val="0"/>
              </w:rPr>
              <w:t>bayram_comparative_2025; idrisov_program_2024; aleithan_swe-bench_2024; zheng_top_2025; li_evocodebench_2024</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2.1.5 Cross-cultural and organisational comparison</w:t>
            </w:r>
          </w:p>
        </w:tc>
        <w:tc>
          <w:tcPr>
            <w:tcW w:type="dxa" w:w="2520"/>
            <w:vAlign w:val="top"/>
          </w:tcPr>
          <w:p>
            <w:pPr>
              <w:spacing w:after="0"/>
            </w:pPr>
            <w:r/>
            <w:r>
              <w:rPr>
                <w:b w:val="0"/>
              </w:rPr>
              <w:t>Methodological</w:t>
            </w:r>
          </w:p>
        </w:tc>
        <w:tc>
          <w:tcPr>
            <w:tcW w:type="dxa" w:w="2520"/>
            <w:vAlign w:val="top"/>
          </w:tcPr>
          <w:p>
            <w:pPr>
              <w:spacing w:after="0"/>
            </w:pPr>
            <w:r/>
            <w:r>
              <w:rPr>
                <w:b w:val="0"/>
              </w:rPr>
              <w:t>asare_user-centered_2024; heibel_mapping_2024; honarvar_turbulence_2025; costa_applying_2026</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2.2.1 Language and domain concentration</w:t>
            </w:r>
          </w:p>
        </w:tc>
        <w:tc>
          <w:tcPr>
            <w:tcW w:type="dxa" w:w="2520"/>
            <w:vAlign w:val="top"/>
          </w:tcPr>
          <w:p>
            <w:pPr>
              <w:spacing w:after="0"/>
            </w:pPr>
            <w:r/>
            <w:r>
              <w:rPr>
                <w:b w:val="0"/>
              </w:rPr>
              <w:t>Empirical</w:t>
            </w:r>
          </w:p>
        </w:tc>
        <w:tc>
          <w:tcPr>
            <w:tcW w:type="dxa" w:w="2520"/>
            <w:vAlign w:val="top"/>
          </w:tcPr>
          <w:p>
            <w:pPr>
              <w:spacing w:after="0"/>
            </w:pPr>
            <w:r/>
            <w:r>
              <w:rPr>
                <w:b w:val="0"/>
              </w:rPr>
              <w:t>bayram_comparative_2025; dozono_large_2026; idrisov_program_2024; karanjai_who_2023; zhang_are_2025</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2.2.2 Underrepresented developer populations</w:t>
            </w:r>
          </w:p>
        </w:tc>
        <w:tc>
          <w:tcPr>
            <w:tcW w:type="dxa" w:w="2520"/>
            <w:vAlign w:val="top"/>
          </w:tcPr>
          <w:p>
            <w:pPr>
              <w:spacing w:after="0"/>
            </w:pPr>
            <w:r/>
            <w:r>
              <w:rPr>
                <w:b w:val="0"/>
              </w:rPr>
              <w:t>Empirical</w:t>
            </w:r>
          </w:p>
        </w:tc>
        <w:tc>
          <w:tcPr>
            <w:tcW w:type="dxa" w:w="2520"/>
            <w:vAlign w:val="top"/>
          </w:tcPr>
          <w:p>
            <w:pPr>
              <w:spacing w:after="0"/>
            </w:pPr>
            <w:r/>
            <w:r>
              <w:rPr>
                <w:b w:val="0"/>
              </w:rPr>
              <w:t>butler_dear_2024; siddiq_quality_2024; asare_is_2024; tang_developer_2024</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2.2.3 Safety-critical and high-stakes domains</w:t>
            </w:r>
          </w:p>
        </w:tc>
        <w:tc>
          <w:tcPr>
            <w:tcW w:type="dxa" w:w="2520"/>
            <w:vAlign w:val="top"/>
          </w:tcPr>
          <w:p>
            <w:pPr>
              <w:spacing w:after="0"/>
            </w:pPr>
            <w:r/>
            <w:r>
              <w:rPr>
                <w:b w:val="0"/>
              </w:rPr>
              <w:t>Empirical</w:t>
            </w:r>
          </w:p>
        </w:tc>
        <w:tc>
          <w:tcPr>
            <w:tcW w:type="dxa" w:w="2520"/>
            <w:vAlign w:val="top"/>
          </w:tcPr>
          <w:p>
            <w:pPr>
              <w:spacing w:after="0"/>
            </w:pPr>
            <w:r/>
            <w:r>
              <w:rPr>
                <w:b w:val="0"/>
              </w:rPr>
              <w:t>pearce_asleep_2025; peng_cweval_2025; chen_securevibebench_2026; belozerov_secure_2026; oh_poisoned_2023</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2.2.4 Maintenance effort attribution beyond 12 months</w:t>
            </w:r>
          </w:p>
        </w:tc>
        <w:tc>
          <w:tcPr>
            <w:tcW w:type="dxa" w:w="2520"/>
            <w:vAlign w:val="top"/>
          </w:tcPr>
          <w:p>
            <w:pPr>
              <w:spacing w:after="0"/>
            </w:pPr>
            <w:r/>
            <w:r>
              <w:rPr>
                <w:b w:val="0"/>
              </w:rPr>
              <w:t>Empirical</w:t>
            </w:r>
          </w:p>
        </w:tc>
        <w:tc>
          <w:tcPr>
            <w:tcW w:type="dxa" w:w="2520"/>
            <w:vAlign w:val="top"/>
          </w:tcPr>
          <w:p>
            <w:pPr>
              <w:spacing w:after="0"/>
            </w:pPr>
            <w:r/>
            <w:r>
              <w:rPr>
                <w:b w:val="0"/>
              </w:rPr>
              <w:t>liu_debt_2026; borg_echoes_2026; vangala_ai-generated_2026; abbassi_recatcher_2025; chen_evaluating_2024</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2.2.5 Hidden cost accounting</w:t>
            </w:r>
          </w:p>
        </w:tc>
        <w:tc>
          <w:tcPr>
            <w:tcW w:type="dxa" w:w="2520"/>
            <w:vAlign w:val="top"/>
          </w:tcPr>
          <w:p>
            <w:pPr>
              <w:spacing w:after="0"/>
            </w:pPr>
            <w:r/>
            <w:r>
              <w:rPr>
                <w:b w:val="0"/>
              </w:rPr>
              <w:t>Empirical</w:t>
            </w:r>
          </w:p>
        </w:tc>
        <w:tc>
          <w:tcPr>
            <w:tcW w:type="dxa" w:w="2520"/>
            <w:vAlign w:val="top"/>
          </w:tcPr>
          <w:p>
            <w:pPr>
              <w:spacing w:after="0"/>
            </w:pPr>
            <w:r/>
            <w:r>
              <w:rPr>
                <w:b w:val="0"/>
              </w:rPr>
              <w:t>idrisov_program_2024; chen_impact_2024; latendresse_how_2025; rabbi_ai_2024</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2.3.1 Trust operationalisation</w:t>
            </w:r>
          </w:p>
        </w:tc>
        <w:tc>
          <w:tcPr>
            <w:tcW w:type="dxa" w:w="2520"/>
            <w:vAlign w:val="top"/>
          </w:tcPr>
          <w:p>
            <w:pPr>
              <w:spacing w:after="0"/>
            </w:pPr>
            <w:r/>
            <w:r>
              <w:rPr>
                <w:b w:val="0"/>
              </w:rPr>
              <w:t>Conceptual</w:t>
            </w:r>
          </w:p>
        </w:tc>
        <w:tc>
          <w:tcPr>
            <w:tcW w:type="dxa" w:w="2520"/>
            <w:vAlign w:val="top"/>
          </w:tcPr>
          <w:p>
            <w:pPr>
              <w:spacing w:after="0"/>
            </w:pPr>
            <w:r/>
            <w:r>
              <w:rPr>
                <w:b w:val="0"/>
              </w:rPr>
              <w:t>siddiq_quality_2024; asare_user-centered_2024; tang_developer_2024; alrashedy_can_2024</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2.3.2 Interaction quality beyond prompts</w:t>
            </w:r>
          </w:p>
        </w:tc>
        <w:tc>
          <w:tcPr>
            <w:tcW w:type="dxa" w:w="2520"/>
            <w:vAlign w:val="top"/>
          </w:tcPr>
          <w:p>
            <w:pPr>
              <w:spacing w:after="0"/>
            </w:pPr>
            <w:r/>
            <w:r>
              <w:rPr>
                <w:b w:val="0"/>
              </w:rPr>
              <w:t>Conceptual</w:t>
            </w:r>
          </w:p>
        </w:tc>
        <w:tc>
          <w:tcPr>
            <w:tcW w:type="dxa" w:w="2520"/>
            <w:vAlign w:val="top"/>
          </w:tcPr>
          <w:p>
            <w:pPr>
              <w:spacing w:after="0"/>
            </w:pPr>
            <w:r/>
            <w:r>
              <w:rPr>
                <w:b w:val="0"/>
              </w:rPr>
              <w:t>bose_prompts_2025; tony_prompting_2025; zhong_developer-llm_2025; qiu_how_2025</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2.3.3 AI-introduced versus AI-amplified debt</w:t>
            </w:r>
          </w:p>
        </w:tc>
        <w:tc>
          <w:tcPr>
            <w:tcW w:type="dxa" w:w="2520"/>
            <w:vAlign w:val="top"/>
          </w:tcPr>
          <w:p>
            <w:pPr>
              <w:spacing w:after="0"/>
            </w:pPr>
            <w:r/>
            <w:r>
              <w:rPr>
                <w:b w:val="0"/>
              </w:rPr>
              <w:t>Conceptual</w:t>
            </w:r>
          </w:p>
        </w:tc>
        <w:tc>
          <w:tcPr>
            <w:tcW w:type="dxa" w:w="2520"/>
            <w:vAlign w:val="top"/>
          </w:tcPr>
          <w:p>
            <w:pPr>
              <w:spacing w:after="0"/>
            </w:pPr>
            <w:r/>
            <w:r>
              <w:rPr>
                <w:b w:val="0"/>
              </w:rPr>
              <w:t>liu_debt_2026; borg_echoes_2026; chen_evaluating_2024; twist_library_2025</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2.3.4 Prompting and validation literacy</w:t>
            </w:r>
          </w:p>
        </w:tc>
        <w:tc>
          <w:tcPr>
            <w:tcW w:type="dxa" w:w="2520"/>
            <w:vAlign w:val="top"/>
          </w:tcPr>
          <w:p>
            <w:pPr>
              <w:spacing w:after="0"/>
            </w:pPr>
            <w:r/>
            <w:r>
              <w:rPr>
                <w:b w:val="0"/>
              </w:rPr>
              <w:t>Conceptual</w:t>
            </w:r>
          </w:p>
        </w:tc>
        <w:tc>
          <w:tcPr>
            <w:tcW w:type="dxa" w:w="2520"/>
            <w:vAlign w:val="top"/>
          </w:tcPr>
          <w:p>
            <w:pPr>
              <w:spacing w:after="0"/>
            </w:pPr>
            <w:r/>
            <w:r>
              <w:rPr>
                <w:b w:val="0"/>
              </w:rPr>
              <w:t>siddiq_quality_2024; butler_dear_2024; res_enhancing_2024; sajadi_how_2025</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2.4.1 Open-source versus proprietary dynamics</w:t>
            </w:r>
          </w:p>
        </w:tc>
        <w:tc>
          <w:tcPr>
            <w:tcW w:type="dxa" w:w="2520"/>
            <w:vAlign w:val="top"/>
          </w:tcPr>
          <w:p>
            <w:pPr>
              <w:spacing w:after="0"/>
            </w:pPr>
            <w:r/>
            <w:r>
              <w:rPr>
                <w:b w:val="0"/>
              </w:rPr>
              <w:t>Contextual</w:t>
            </w:r>
          </w:p>
        </w:tc>
        <w:tc>
          <w:tcPr>
            <w:tcW w:type="dxa" w:w="2520"/>
            <w:vAlign w:val="top"/>
          </w:tcPr>
          <w:p>
            <w:pPr>
              <w:spacing w:after="0"/>
            </w:pPr>
            <w:r/>
            <w:r>
              <w:rPr>
                <w:b w:val="0"/>
              </w:rPr>
              <w:t>fu_security_2025; schreiber_security_2026; chen_impact_2024; costa_applying_2026</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2.4.2 Small versus large organisations</w:t>
            </w:r>
          </w:p>
        </w:tc>
        <w:tc>
          <w:tcPr>
            <w:tcW w:type="dxa" w:w="2520"/>
            <w:vAlign w:val="top"/>
          </w:tcPr>
          <w:p>
            <w:pPr>
              <w:spacing w:after="0"/>
            </w:pPr>
            <w:r/>
            <w:r>
              <w:rPr>
                <w:b w:val="0"/>
              </w:rPr>
              <w:t>Contextual</w:t>
            </w:r>
          </w:p>
        </w:tc>
        <w:tc>
          <w:tcPr>
            <w:tcW w:type="dxa" w:w="2520"/>
            <w:vAlign w:val="top"/>
          </w:tcPr>
          <w:p>
            <w:pPr>
              <w:spacing w:after="0"/>
            </w:pPr>
            <w:r/>
            <w:r>
              <w:rPr>
                <w:b w:val="0"/>
              </w:rPr>
              <w:t>heibel_mapping_2024; costa_applying_2026; asare_user-centered_2024; chen_impact_2024</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2.4.3 Training and onboarding beyond controlled tasks</w:t>
            </w:r>
          </w:p>
        </w:tc>
        <w:tc>
          <w:tcPr>
            <w:tcW w:type="dxa" w:w="2520"/>
            <w:vAlign w:val="top"/>
          </w:tcPr>
          <w:p>
            <w:pPr>
              <w:spacing w:after="0"/>
            </w:pPr>
            <w:r/>
            <w:r>
              <w:rPr>
                <w:b w:val="0"/>
              </w:rPr>
              <w:t>Contextual</w:t>
            </w:r>
          </w:p>
        </w:tc>
        <w:tc>
          <w:tcPr>
            <w:tcW w:type="dxa" w:w="2520"/>
            <w:vAlign w:val="top"/>
          </w:tcPr>
          <w:p>
            <w:pPr>
              <w:spacing w:after="0"/>
            </w:pPr>
            <w:r/>
            <w:r>
              <w:rPr>
                <w:b w:val="0"/>
              </w:rPr>
              <w:t>butler_dear_2024; tang_developer_2024; siddiq_quality_2024; asare_user-centered_2024</w:t>
            </w:r>
          </w:p>
        </w:tc>
        <w:tc>
          <w:tcPr>
            <w:tcW w:type="dxa" w:w="2520"/>
            <w:vAlign w:val="top"/>
          </w:tcPr>
          <w:p>
            <w:pPr>
              <w:spacing w:after="0"/>
            </w:pPr>
            <w:r/>
            <w:r>
              <w:rPr>
                <w:b w:val="0"/>
              </w:rPr>
              <w:t>Exposes the gap directly or partially addresses it without resolving scale, duration, population, attribution, or context limits.</w:t>
            </w:r>
          </w:p>
        </w:tc>
      </w:tr>
      <w:tr>
        <w:tc>
          <w:tcPr>
            <w:tcW w:type="dxa" w:w="2520"/>
            <w:vAlign w:val="top"/>
          </w:tcPr>
          <w:p>
            <w:pPr>
              <w:spacing w:after="0"/>
            </w:pPr>
            <w:r/>
            <w:r>
              <w:rPr>
                <w:b w:val="0"/>
              </w:rPr>
              <w:t>2.4.4 Regulated industry contexts</w:t>
            </w:r>
          </w:p>
        </w:tc>
        <w:tc>
          <w:tcPr>
            <w:tcW w:type="dxa" w:w="2520"/>
            <w:vAlign w:val="top"/>
          </w:tcPr>
          <w:p>
            <w:pPr>
              <w:spacing w:after="0"/>
            </w:pPr>
            <w:r/>
            <w:r>
              <w:rPr>
                <w:b w:val="0"/>
              </w:rPr>
              <w:t>Contextual</w:t>
            </w:r>
          </w:p>
        </w:tc>
        <w:tc>
          <w:tcPr>
            <w:tcW w:type="dxa" w:w="2520"/>
            <w:vAlign w:val="top"/>
          </w:tcPr>
          <w:p>
            <w:pPr>
              <w:spacing w:after="0"/>
            </w:pPr>
            <w:r/>
            <w:r>
              <w:rPr>
                <w:b w:val="0"/>
              </w:rPr>
              <w:t>belozerov_secure_2026; peng_cweval_2025; pearce_asleep_2025; kozak_when_2025</w:t>
            </w:r>
          </w:p>
        </w:tc>
        <w:tc>
          <w:tcPr>
            <w:tcW w:type="dxa" w:w="2520"/>
            <w:vAlign w:val="top"/>
          </w:tcPr>
          <w:p>
            <w:pPr>
              <w:spacing w:after="0"/>
            </w:pPr>
            <w:r/>
            <w:r>
              <w:rPr>
                <w:b w:val="0"/>
              </w:rPr>
              <w:t>Exposes the gap directly or partially addresses it without resolving scale, duration, population, attribution, or context limits.</w:t>
            </w:r>
          </w:p>
        </w:tc>
      </w:tr>
    </w:tbl>
    <w:p>
      <w:pPr>
        <w:pStyle w:val="Heading1"/>
      </w:pPr>
      <w:r>
        <w:t>2. Gaps organised by category</w:t>
      </w:r>
    </w:p>
    <w:p>
      <w:pPr>
        <w:pStyle w:val="Heading2"/>
      </w:pPr>
      <w:r>
        <w:t>2.1 Methodological gaps</w:t>
      </w:r>
    </w:p>
    <w:p>
      <w:pPr>
        <w:pStyle w:val="Heading3"/>
      </w:pPr>
      <w:r>
        <w:t>2.1.1 Longitudinal multi-organisation follow-up</w:t>
      </w:r>
    </w:p>
    <w:p>
      <w:r>
        <w:t>2.1.1.1 Gap statement: The corpus lacks longitudinal, multi-organisation studies that follow AI-assisted code from generation into review, deployment, operation and later maintenance.</w:t>
      </w:r>
    </w:p>
    <w:p>
      <w:r>
        <w:t>2.1.1.2 Why this is a gap: Most CQTD evidence is cross-sectional: it measures benchmark pass rates, static metrics, generated snippets, pull requests, or short intervention outcomes rather than observing how AI-authored artefacts age across teams and release cycles. Repository mining and industrial observation begin to expose downstream maintainability, but they do not yet combine organisation-level comparison, developer process data, and multi-year survival analysis.</w:t>
      </w:r>
    </w:p>
    <w:p>
      <w:r>
        <w:t>2.1.1.3 Evidence from the corpus: Liu (2026, large-scale repository mining study; 304,362 verified AI-authored commits from production repositories); Borg (2026, industrial/observational maintainability study; downstream maintainability observations of AI-assisted development); Chen (2024, case study / quasi-experiment; AI-pair programming setting in software development); Sajadi (2025, large-scale patch security study; large-scale AI-generated patches; nearly a quarter of inspected patches contained valid security threats or logic flaws). These papers indicate the gap by measuring only a bounded version of the construct, by showing context-dependent disagreement, or by attempting a partial closure without the duration, scale or contextual matching required for generalisation [3], [5], [6], [7].</w:t>
      </w:r>
    </w:p>
    <w:p>
      <w:r>
        <w:t>2.1.1.4 What would resolve it: A field programme following at least 20-30 teams across 8-10 organisations for 18-36 months, linking AI-assistance logs, code-review records, defect tickets, SAST/static metric deltas, production incidents and maintenance effort attribution.</w:t>
      </w:r>
    </w:p>
    <w:p>
      <w:r>
        <w:t>2.1.1.5 Priority: High.</w:t>
      </w:r>
    </w:p>
    <w:p>
      <w:pPr>
        <w:pStyle w:val="Heading3"/>
      </w:pPr>
      <w:r>
        <w:t>2.1.2 Large RCTs with varied expertise</w:t>
      </w:r>
    </w:p>
    <w:p>
      <w:r>
        <w:t>2.1.2.1 Gap statement: Controlled evidence is still too small and expertise-skewed to determine how AI assistance changes CQTD outcomes for novices, intermediates and professional developers.</w:t>
      </w:r>
    </w:p>
    <w:p>
      <w:r>
        <w:t>2.1.2.2 Why this is a gap: The corpus contains controlled user studies and randomised designs, but they are typically bounded to one setting, one task family, or one participant population. This leaves unresolved whether observed quality gains or losses are caused by the tool, by developer expertise, or by task selection.</w:t>
      </w:r>
    </w:p>
    <w:p>
      <w:r>
        <w:t>2.1.2.3 Evidence from the corpus: Sandoval (2022, controlled user study; developer participants working with C code-assistant outputs); Butler (2024, randomised controlled trial; workplace diary/RCT study of generative AI coding tools); Tang (2024, controlled lab study with mixed methods; 28 participants validating and repairing Copilot-generated code in 3 projects); Siddiq (2024, empirical quality assessment / developer-use study; ChatGPT-generated code and developer-use evidence); Asare (2024, user-centred security evaluation; developer/user evaluation of Copilot security behaviour). These papers indicate the gap by measuring only a bounded version of the construct, by showing context-dependent disagreement, or by attempting a partial closure without the duration, scale or contextual matching required for generalisation [8], [9], [10], [11], [12].</w:t>
      </w:r>
    </w:p>
    <w:p>
      <w:r>
        <w:t>2.1.2.4 What would resolve it: Multi-site randomised trials with 300-600 participants stratified by expertise, language and task type, with pre-registered outcome measures for correctness, security, maintainability, review behaviour and validation quality.</w:t>
      </w:r>
    </w:p>
    <w:p>
      <w:r>
        <w:t>2.1.2.5 Priority: High.</w:t>
      </w:r>
    </w:p>
    <w:p>
      <w:pPr>
        <w:pStyle w:val="Heading3"/>
      </w:pPr>
      <w:r>
        <w:t>2.1.3 Post-deployment monitoring</w:t>
      </w:r>
    </w:p>
    <w:p>
      <w:r>
        <w:t>2.1.3.1 Gap statement: Post-deployment monitoring of AI-generated or AI-modified code remains underdeveloped, especially for bugs, vulnerabilities and maintainability debt that appear after release.</w:t>
      </w:r>
    </w:p>
    <w:p>
      <w:r>
        <w:t>2.1.3.2 Why this is a gap: Benchmark and repository studies can identify immediate defects, security weaknesses and dependency gaps, but they rarely trace whether accepted AI code later causes incidents, regressions, vulnerabilities, rollback, or refactoring cost.</w:t>
      </w:r>
    </w:p>
    <w:p>
      <w:r>
        <w:t>2.1.3.3 Evidence from the corpus: Chen (2024, mining study / repository-level agent evaluation; 4,892 patches from 10 top-ranked agents on 500 SWE-Bench Verified GitHub issues); Fu (2025, repository mining / empirical security study; 733 Copilot-generated code snippets in GitHub projects; 27.3% with identifiable weaknesses); Vangala (2026, empirical reproducibility study; AI-generated projects; 31.7% failed to run out-of-the-box; 13.5× dependency expansion factor); Abbassi (2025, quasi-experimental regression-testing study; LLM updates/merges simulated for regression testing). These papers indicate the gap by measuring only a bounded version of the construct, by showing context-dependent disagreement, or by attempting a partial closure without the duration, scale or contextual matching required for generalisation [2], [13], [14], [15].</w:t>
      </w:r>
    </w:p>
    <w:p>
      <w:r>
        <w:t>2.1.3.4 What would resolve it: Release-linked observability studies over 12-24 months, combining commit provenance, review metadata, production telemetry, security advisories, incident tickets and regression-test history for AI-assisted versus non-assisted changes.</w:t>
      </w:r>
    </w:p>
    <w:p>
      <w:r>
        <w:t>2.1.3.5 Priority: High.</w:t>
      </w:r>
    </w:p>
    <w:p>
      <w:pPr>
        <w:pStyle w:val="Heading3"/>
      </w:pPr>
      <w:r>
        <w:t>2.1.4 Real-world evaluation protocols</w:t>
      </w:r>
    </w:p>
    <w:p>
      <w:r>
        <w:t>2.1.4.1 Gap statement: The field lacks standardised evaluation protocols for real-world, non-benchmark CQTD assessment.</w:t>
      </w:r>
    </w:p>
    <w:p>
      <w:r>
        <w:t>2.1.4.2 Why this is a gap: Studies use HumanEval, LeetCode, SWE-Bench, domain benchmarks, API benchmarks and repository mining, but their denominators, pass criteria, static-analysis settings, security scanners and maintainability instruments differ enough to make cross-paper comparison fragile.</w:t>
      </w:r>
    </w:p>
    <w:p>
      <w:r>
        <w:t>2.1.4.3 Evidence from the corpus: Bayram (2025, benchmark-based comparative evaluation; 164 HumanEval Python programming problems; 6 AI models); Idrisov (2024, benchmark-based empirical evaluation; 126 AI-generated programs; 7 generative AIs × 18 LeetCode solutions); Aleithan (2024, enhanced benchmark study; SWE-Bench+ coding benchmark tasks); Zheng (2025, multi-domain benchmark evaluation; DomainCodeBench multi-domain tasks); Li (2024, evolving benchmark study; real-world evolving code-generation benchmark). These papers indicate the gap by measuring only a bounded version of the construct, by showing context-dependent disagreement, or by attempting a partial closure without the duration, scale or contextual matching required for generalisation [1], [16], [17], [18], [19].</w:t>
      </w:r>
    </w:p>
    <w:p>
      <w:r>
        <w:t>2.1.4.4 What would resolve it: A protocol family specifying task provenance, execution environment, test adequacy, code-review rubric, SAST configuration, maintainability metrics, dependency capture and reporting templates for repository-level evaluations.</w:t>
      </w:r>
    </w:p>
    <w:p>
      <w:r>
        <w:t>2.1.4.5 Priority: High.</w:t>
      </w:r>
    </w:p>
    <w:p>
      <w:pPr>
        <w:pStyle w:val="Heading3"/>
      </w:pPr>
      <w:r>
        <w:t>2.1.5 Cross-cultural and organisational comparison</w:t>
      </w:r>
    </w:p>
    <w:p>
      <w:r>
        <w:t>2.1.5.1 Gap statement: Comparative CQTD evidence rarely separates cultural, organisational and workflow effects from model capability effects.</w:t>
      </w:r>
    </w:p>
    <w:p>
      <w:r>
        <w:t>2.1.5.2 Why this is a gap: Industrial and developer-centred papers show that adoption context matters, yet most evaluations treat users, organisations and review cultures as background variables rather than study factors.</w:t>
      </w:r>
    </w:p>
    <w:p>
      <w:r>
        <w:t>2.1.5.3 Evidence from the corpus: Asare (2024, user-centred security evaluation; developer/user evaluation of Copilot security behaviour); Heibel (2024, adversarial robustness/security evaluation; programming-assistant tasks under adversarial attacks); Honarvar (2025, automatic robustness testing study; instruction-tuned LLMs tested under systematic code perturbations); Costa (2026, industrial case study; proprietary software ecosystem vulnerability-fixing cases). These papers indicate the gap by measuring only a bounded version of the construct, by showing context-dependent disagreement, or by attempting a partial closure without the duration, scale or contextual matching required for generalisation [12], [20], [21], [22].</w:t>
      </w:r>
    </w:p>
    <w:p>
      <w:r>
        <w:t>2.1.5.4 What would resolve it: Matched comparative case studies across regions, company sizes and review cultures, using common instruments for trust, review discipline, defect escape, security handling and maintainability decisions.</w:t>
      </w:r>
    </w:p>
    <w:p>
      <w:r>
        <w:t>2.1.5.5 Priority: Medium.</w:t>
      </w:r>
    </w:p>
    <w:p>
      <w:pPr>
        <w:pStyle w:val="Heading2"/>
      </w:pPr>
      <w:r>
        <w:t>2.2 Empirical gaps</w:t>
      </w:r>
    </w:p>
    <w:p>
      <w:pPr>
        <w:pStyle w:val="Heading3"/>
      </w:pPr>
      <w:r>
        <w:t>2.2.1 Language and domain concentration</w:t>
      </w:r>
    </w:p>
    <w:p>
      <w:r>
        <w:t>2.2.1.1 Gap statement: CQTD evidence remains uneven across programming languages and application domains, with Python and general algorithmic tasks over-represented relative to production stacks.</w:t>
      </w:r>
    </w:p>
    <w:p>
      <w:r>
        <w:t>2.2.1.2 Why this is a gap: Multi-language work exists, but many high-profile results rely on Python benchmarks, LeetCode/HumanEval-style tasks, or isolated security scenarios; this limits claims about JavaScript/TypeScript, C/C++, Java enterprise systems, smart contracts, infrastructure-as-code and API-heavy applications.</w:t>
      </w:r>
    </w:p>
    <w:p>
      <w:r>
        <w:t>2.2.1.3 Evidence from the corpus: Bayram (2025, benchmark-based comparative evaluation; 164 HumanEval Python programming problems; 6 AI models); Dozono (2026, multi-language empirical security assessment; multi-language secure-code assessment tasks); Idrisov (2024, benchmark-based empirical evaluation; 126 AI-generated programs; 7 generative AIs × 18 LeetCode solutions); Karanjai (2023, empirical smart-contract generation study; AI-generated smart contracts assessed empirically); Zhang (2025, chain-of-thought quality evaluation; CoT-based code generation; 18.5% incorrect code despite correct reasoning). These papers indicate the gap by measuring only a bounded version of the construct, by showing context-dependent disagreement, or by attempting a partial closure without the duration, scale or contextual matching required for generalisation [1], [23], [16], [24], [25].</w:t>
      </w:r>
    </w:p>
    <w:p>
      <w:r>
        <w:t>2.2.1.4 What would resolve it: Balanced multi-language benchmark and repository studies with at least 5-7 production-relevant languages, domain-specific tasks, real dependency environments and comparable static/dynamic quality instruments.</w:t>
      </w:r>
    </w:p>
    <w:p>
      <w:r>
        <w:t>2.2.1.5 Priority: High.</w:t>
      </w:r>
    </w:p>
    <w:p>
      <w:pPr>
        <w:pStyle w:val="Heading3"/>
      </w:pPr>
      <w:r>
        <w:t>2.2.2 Underrepresented developer populations</w:t>
      </w:r>
    </w:p>
    <w:p>
      <w:r>
        <w:t>2.2.2.1 Gap statement: The corpus gives limited empirical visibility to underrepresented developer populations and non-elite professional or training settings.</w:t>
      </w:r>
    </w:p>
    <w:p>
      <w:r>
        <w:t>2.2.2.2 Why this is a gap: Developer-use, workplace and security-user studies are valuable, but they seldom make gender, institution type, geography, prior opportunity, accessibility, or labour-market context central to CQTD analysis. As a result, quality effects may be overgeneralised from populations with relatively high prior programming exposure.</w:t>
      </w:r>
    </w:p>
    <w:p>
      <w:r>
        <w:t>2.2.2.3 Evidence from the corpus: Butler (2024, randomised controlled trial; workplace diary/RCT study of generative AI coding tools); Siddiq (2024, empirical quality assessment / developer-use study; ChatGPT-generated code and developer-use evidence); Asare (2024, comparative security evaluation; Copilot-generated code compared with human-introduced vulnerabilities); Tang (2024, controlled lab study with mixed methods; 28 participants validating and repairing Copilot-generated code in 3 projects). These papers indicate the gap by measuring only a bounded version of the construct, by showing context-dependent disagreement, or by attempting a partial closure without the duration, scale or contextual matching required for generalisation [9], [11], [26], [10].</w:t>
      </w:r>
    </w:p>
    <w:p>
      <w:r>
        <w:t>2.2.2.4 What would resolve it: Inclusive sampling designs across community colleges, non-elite universities, bootcamps, global South programmes and professional retraining contexts, with disaggregated CQTD outcomes and ethical reporting safeguards.</w:t>
      </w:r>
    </w:p>
    <w:p>
      <w:r>
        <w:t>2.2.2.5 Priority: Medium.</w:t>
      </w:r>
    </w:p>
    <w:p>
      <w:pPr>
        <w:pStyle w:val="Heading3"/>
      </w:pPr>
      <w:r>
        <w:t>2.2.3 Safety-critical and high-stakes domains</w:t>
      </w:r>
    </w:p>
    <w:p>
      <w:r>
        <w:t>2.2.3.1 Gap statement: The field has not yet established CQTD effects for safety-critical and high-stakes domains where generated defects have disproportionate consequences.</w:t>
      </w:r>
    </w:p>
    <w:p>
      <w:r>
        <w:t>2.2.3.2 Why this is a gap: Security-oriented studies expose vulnerability patterns, malicious-code robustness and secure-coding limits, but few link AI-generated code quality to domain-specific assurance regimes in healthcare, finance, automotive, avionics, or critical infrastructure.</w:t>
      </w:r>
    </w:p>
    <w:p>
      <w:r>
        <w:t>2.2.3.3 Evidence from the corpus: Pearce (2025, security benchmark empirical evaluation; security-sensitive programming scenarios; approximately 40% of generated programs vulnerable); Peng (2025, outcome-driven benchmark evaluation; CWEval functionality and security benchmark tasks); Chen (2026, agent security benchmark; secure-coding benchmark for code agents); Belozerov (2026, secure-coding detection-and-repair empirical study; secure-coding tasks from detection to repair); Oh (2023, adversarial/user study; poisoned ChatGPT coding tasks; developers accepted insecure suggestions in 70–100% of tasks). These papers indicate the gap by measuring only a bounded version of the construct, by showing context-dependent disagreement, or by attempting a partial closure without the duration, scale or contextual matching required for generalisation [4], [27], [28], [29], [30].</w:t>
      </w:r>
    </w:p>
    <w:p>
      <w:r>
        <w:t>2.2.3.4 What would resolve it: Domain-governed evaluations using safety cases, threat models, compliance artefacts and expert review panels, with separate measurement of functional correctness, security, auditability and certification effort.</w:t>
      </w:r>
    </w:p>
    <w:p>
      <w:r>
        <w:t>2.2.3.5 Priority: High.</w:t>
      </w:r>
    </w:p>
    <w:p>
      <w:pPr>
        <w:pStyle w:val="Heading3"/>
      </w:pPr>
      <w:r>
        <w:t>2.2.4 Maintenance effort attribution beyond 12 months</w:t>
      </w:r>
    </w:p>
    <w:p>
      <w:r>
        <w:t>2.2.4.1 Gap statement: Maintenance effort attributable specifically to AI-generated code is rarely measured beyond short interaction or repository snapshots.</w:t>
      </w:r>
    </w:p>
    <w:p>
      <w:r>
        <w:t>2.2.4.2 Why this is a gap: The corpus identifies technical debt, maintainability concerns, dependency gaps and rework, yet it seldom links later maintenance tickets, refactorings or defect fixes back to AI assistance with enough causal confidence.</w:t>
      </w:r>
    </w:p>
    <w:p>
      <w:r>
        <w:t>2.2.4.3 Evidence from the corpus: Liu (2026, large-scale repository mining study; 304,362 verified AI-authored commits from production repositories); Borg (2026, industrial/observational maintainability study; downstream maintainability observations of AI-assisted development); Vangala (2026, empirical reproducibility study; AI-generated projects; 31.7% failed to run out-of-the-box; 13.5× dependency expansion factor); Abbassi (2025, quasi-experimental regression-testing study; LLM updates/merges simulated for regression testing); Chen (2024, mining study / repository-level agent evaluation; 4,892 patches from 10 top-ranked agents on 500 SWE-Bench Verified GitHub issues). These papers indicate the gap by measuring only a bounded version of the construct, by showing context-dependent disagreement, or by attempting a partial closure without the duration, scale or contextual matching required for generalisation [3], [5], [14], [15], [2].</w:t>
      </w:r>
    </w:p>
    <w:p>
      <w:r>
        <w:t>2.2.4.4 What would resolve it: Commit-provenance studies that tag AI-assisted changes at creation and follow them for at least 12-24 months, using matched non-AI controls and survival or event-history models for maintenance events.</w:t>
      </w:r>
    </w:p>
    <w:p>
      <w:r>
        <w:t>2.2.4.5 Priority: High.</w:t>
      </w:r>
    </w:p>
    <w:p>
      <w:pPr>
        <w:pStyle w:val="Heading3"/>
      </w:pPr>
      <w:r>
        <w:t>2.2.5 Hidden cost accounting</w:t>
      </w:r>
    </w:p>
    <w:p>
      <w:r>
        <w:t>2.2.5.1 Gap statement: Cost-benefit evidence is incomplete because hidden CQTD costs are not consistently measured alongside productivity or correctness outcomes.</w:t>
      </w:r>
    </w:p>
    <w:p>
      <w:r>
        <w:t>2.2.5.2 Why this is a gap: Some studies measure time savings, satisfaction, or repair effort, while CQTD studies separately measure vulnerabilities, dependency gaps and maintainability debt. The missing empirical bridge is a unified accounting model that values review time, validation burden, post-release defects, security remediation and future refactoring.</w:t>
      </w:r>
    </w:p>
    <w:p>
      <w:r>
        <w:t>2.2.5.3 Evidence from the corpus: Idrisov (2024, benchmark-based empirical evaluation; 126 AI-generated programs; 7 generative AIs × 18 LeetCode solutions); Chen (2024, case study / quasi-experiment; AI-pair programming setting in software development); Latendresse (2025, library import robustness empirical study; Stack Overflow-grounded library-import tasks); Rabbi (2024, static analysis mining study; 1,756 Python snippets from DevGPT; 1,543 ChatGPT-generated and 213 ChatGPT-modified snippets). These papers indicate the gap by measuring only a bounded version of the construct, by showing context-dependent disagreement, or by attempting a partial closure without the duration, scale or contextual matching required for generalisation [16], [6], [31], [32].</w:t>
      </w:r>
    </w:p>
    <w:p>
      <w:r>
        <w:t>2.2.5.4 What would resolve it: Prospective economic studies in software teams that instrument developer time, review load, test additions, defect escape, security remediation and later maintenance, preferably with accounting data and matched baselines.</w:t>
      </w:r>
    </w:p>
    <w:p>
      <w:r>
        <w:t>2.2.5.5 Priority: High.</w:t>
      </w:r>
    </w:p>
    <w:p>
      <w:pPr>
        <w:pStyle w:val="Heading2"/>
      </w:pPr>
      <w:r>
        <w:t>2.3 Conceptual gaps</w:t>
      </w:r>
    </w:p>
    <w:p>
      <w:pPr>
        <w:pStyle w:val="Heading3"/>
      </w:pPr>
      <w:r>
        <w:t>2.3.1 Trust operationalisation</w:t>
      </w:r>
    </w:p>
    <w:p>
      <w:r>
        <w:t>2.3.1.1 Gap statement: Trust is not yet operationalised consistently enough to connect developer reliance with CQTD outcomes.</w:t>
      </w:r>
    </w:p>
    <w:p>
      <w:r>
        <w:t>2.3.1.2 Why this is a gap: Several papers examine expectation, reliance, satisfaction, acceptance, or user-centred behaviour, but the construct often mixes confidence in the model, confidence in oneself, validation discipline and willingness to ship generated code.</w:t>
      </w:r>
    </w:p>
    <w:p>
      <w:r>
        <w:t>2.3.1.3 Evidence from the corpus: Siddiq (2024, empirical quality assessment / developer-use study; ChatGPT-generated code and developer-use evidence); Asare (2024, user-centred security evaluation; developer/user evaluation of Copilot security behaviour); Tang (2024, controlled lab study with mixed methods; 28 participants validating and repairing Copilot-generated code in 3 projects); Alrashedy (2024, vulnerability repair experiment; security issue patching tasks). These papers indicate the gap by measuring only a bounded version of the construct, by showing context-dependent disagreement, or by attempting a partial closure without the duration, scale or contextual matching required for generalisation [11], [12], [10], [33].</w:t>
      </w:r>
    </w:p>
    <w:p>
      <w:r>
        <w:t>2.3.1.4 What would resolve it: A validated trust instrument for AI-assisted development that separates perceived capability, calibrated reliance, verification behaviour, risk perception and shipping decisions, then correlates these with measured defects and debt.</w:t>
      </w:r>
    </w:p>
    <w:p>
      <w:r>
        <w:t>2.3.1.5 Priority: High.</w:t>
      </w:r>
    </w:p>
    <w:p>
      <w:pPr>
        <w:pStyle w:val="Heading3"/>
      </w:pPr>
      <w:r>
        <w:t>2.3.2 Interaction quality beyond prompts</w:t>
      </w:r>
    </w:p>
    <w:p>
      <w:r>
        <w:t>2.3.2.1 Gap statement: Interaction quality is often reduced to prompt wording, leaving tool feedback, conversational repair, context management and review negotiation under-theorised.</w:t>
      </w:r>
    </w:p>
    <w:p>
      <w:r>
        <w:t>2.3.2.2 Why this is a gap: Prompting and multi-turn studies show that interaction shape matters, but current measures often stop at prompt form, number of turns, or final code quality; they do not capture whether the human-AI conversation improved shared problem representation or merely produced more code.</w:t>
      </w:r>
    </w:p>
    <w:p>
      <w:r>
        <w:t>2.3.2.3 Evidence from the corpus: Bose (2025, property-based testing evaluation; property-based code-generation tasks); Tony (2025, systematic prompting experiment; secure-code-generation prompts across techniques); Zhong (2025, conversation mining / empirical interaction study; developer-LLM conversations and generated code snippets); Qiu (2025, efficiency benchmark; rigorous high-standard benchmark of generated code efficiency). These papers indicate the gap by measuring only a bounded version of the construct, by showing context-dependent disagreement, or by attempting a partial closure without the duration, scale or contextual matching required for generalisation [34], [35], [36], [37].</w:t>
      </w:r>
    </w:p>
    <w:p>
      <w:r>
        <w:t>2.3.2.4 What would resolve it: Interaction-process models coded from IDE traces and conversations, with metrics for context provision, critique quality, repair loops, hallucination correction and human acceptance criteria.</w:t>
      </w:r>
    </w:p>
    <w:p>
      <w:r>
        <w:t>2.3.2.5 Priority: Medium.</w:t>
      </w:r>
    </w:p>
    <w:p>
      <w:pPr>
        <w:pStyle w:val="Heading3"/>
      </w:pPr>
      <w:r>
        <w:t>2.3.3 AI-introduced versus AI-amplified debt</w:t>
      </w:r>
    </w:p>
    <w:p>
      <w:r>
        <w:t>2.3.3.1 Gap statement: The corpus does not yet consistently distinguish technical debt introduced by AI from pre-existing debt amplified or exposed by AI assistance.</w:t>
      </w:r>
    </w:p>
    <w:p>
      <w:r>
        <w:t>2.3.3.2 Why this is a gap: Repository and maintainability studies detect debt, smells and patch divergence, but attribution is difficult when AI operates inside already complex codebases with legacy debt, weak tests and dependency problems.</w:t>
      </w:r>
    </w:p>
    <w:p>
      <w:r>
        <w:t>2.3.3.3 Evidence from the corpus: Liu (2026, large-scale repository mining study; 304,362 verified AI-authored commits from production repositories); Borg (2026, industrial/observational maintainability study; downstream maintainability observations of AI-assisted development); Chen (2024, mining study / repository-level agent evaluation; 4,892 patches from 10 top-ranked agents on 500 SWE-Bench Verified GitHub issues); Twist (2025, empirical library hallucination / risk analysis; developer-query-grounded library hallucination cases). These papers indicate the gap by measuring only a bounded version of the construct, by showing context-dependent disagreement, or by attempting a partial closure without the duration, scale or contextual matching required for generalisation [3], [5], [2], [38].</w:t>
      </w:r>
    </w:p>
    <w:p>
      <w:r>
        <w:t>2.3.3.4 What would resolve it: A debt-attribution framework using pre-change baselines, counterfactual human patches, provenance labels and debt taxonomies that classify generated debt, amplified debt and revealed legacy debt separately.</w:t>
      </w:r>
    </w:p>
    <w:p>
      <w:r>
        <w:t>2.3.3.5 Priority: High.</w:t>
      </w:r>
    </w:p>
    <w:p>
      <w:pPr>
        <w:pStyle w:val="Heading3"/>
      </w:pPr>
      <w:r>
        <w:t>2.3.4 Prompting and validation literacy</w:t>
      </w:r>
    </w:p>
    <w:p>
      <w:r>
        <w:t>2.3.4.1 Gap statement: Prompting skill and validation literacy are not yet treated as measurable competencies that mediate CQTD outcomes.</w:t>
      </w:r>
    </w:p>
    <w:p>
      <w:r>
        <w:t>2.3.4.2 Why this is a gap: Educational, user-study and prompting papers imply that developers need to specify, test, review and challenge AI output, but the field lacks competency definitions that can be used in experiments, curricula and organisational training.</w:t>
      </w:r>
    </w:p>
    <w:p>
      <w:r>
        <w:t>2.3.4.3 Evidence from the corpus: Siddiq (2024, empirical quality assessment / developer-use study; ChatGPT-generated code and developer-use evidence); Butler (2024, randomised controlled trial; workplace diary/RCT study of generative AI coding tools); Res (2024, controlled prompt-engineering experiment; security-oriented GitHub Copilot code-synthesis tasks); Sajadi (2025, large-scale patch security study; large-scale AI-generated patches; nearly a quarter of inspected patches contained valid security threats or logic flaws). These papers indicate the gap by measuring only a bounded version of the construct, by showing context-dependent disagreement, or by attempting a partial closure without the duration, scale or contextual matching required for generalisation [11], [9], [39], [7].</w:t>
      </w:r>
    </w:p>
    <w:p>
      <w:r>
        <w:t>2.3.4.4 What would resolve it: Competency models with assessment rubrics for prompt decomposition, test design, security checking, dependency verification, review scepticism and maintenance reasoning, validated against code-quality outcomes.</w:t>
      </w:r>
    </w:p>
    <w:p>
      <w:r>
        <w:t>2.3.4.5 Priority: High.</w:t>
      </w:r>
    </w:p>
    <w:p>
      <w:pPr>
        <w:pStyle w:val="Heading2"/>
      </w:pPr>
      <w:r>
        <w:t>2.4 Contextual gaps</w:t>
      </w:r>
    </w:p>
    <w:p>
      <w:pPr>
        <w:pStyle w:val="Heading3"/>
      </w:pPr>
      <w:r>
        <w:t>2.4.1 Open-source versus proprietary dynamics</w:t>
      </w:r>
    </w:p>
    <w:p>
      <w:r>
        <w:t>2.4.1.1 Gap statement: Open-source and proprietary codebase dynamics are not yet compared in a way that explains when CQTD risks differ by governance model.</w:t>
      </w:r>
    </w:p>
    <w:p>
      <w:r>
        <w:t>2.4.1.2 Why this is a gap: Large repository studies and GitHub-based security analyses provide scale, while industrial cases expose workflow effects, but the corpus rarely compares these settings with shared measures of review quality, ownership, incentive structure and release accountability.</w:t>
      </w:r>
    </w:p>
    <w:p>
      <w:r>
        <w:t>2.4.1.3 Evidence from the corpus: Fu (2025, repository mining / empirical security study; 733 Copilot-generated code snippets in GitHub projects; 27.3% with identifiable weaknesses); Schreiber (2026, large-scale security analysis; large-scale corpus of AI-generated code across languages); Chen (2024, case study / quasi-experiment; AI-pair programming setting in software development); Costa (2026, industrial case study; proprietary software ecosystem vulnerability-fixing cases). These papers indicate the gap by measuring only a bounded version of the construct, by showing context-dependent disagreement, or by attempting a partial closure without the duration, scale or contextual matching required for generalisation [13], [40], [6], [22].</w:t>
      </w:r>
    </w:p>
    <w:p>
      <w:r>
        <w:t>2.4.1.4 What would resolve it: Matched open-source/proprietary studies using comparable languages and task types, with governance variables such as review rules, ownership, CI coverage, security policy and release cadence.</w:t>
      </w:r>
    </w:p>
    <w:p>
      <w:r>
        <w:t>2.4.1.5 Priority: Medium.</w:t>
      </w:r>
    </w:p>
    <w:p>
      <w:pPr>
        <w:pStyle w:val="Heading3"/>
      </w:pPr>
      <w:r>
        <w:t>2.4.2 Small versus large organisations</w:t>
      </w:r>
    </w:p>
    <w:p>
      <w:r>
        <w:t>2.4.2.1 Gap statement: Deployment patterns in small organisations are under-specified relative to large-company or benchmark settings.</w:t>
      </w:r>
    </w:p>
    <w:p>
      <w:r>
        <w:t>2.4.2.2 Why this is a gap: Industrial observations and case studies show adoption frictions, but the corpus does not yet explain whether small teams face different CQTD trade-offs because of thinner review capacity, weaker security tooling or faster release cycles.</w:t>
      </w:r>
    </w:p>
    <w:p>
      <w:r>
        <w:t>2.4.2.3 Evidence from the corpus: Heibel (2024, adversarial robustness/security evaluation; programming-assistant tasks under adversarial attacks); Costa (2026, industrial case study; proprietary software ecosystem vulnerability-fixing cases); Asare (2024, user-centred security evaluation; developer/user evaluation of Copilot security behaviour); Chen (2024, case study / quasi-experiment; AI-pair programming setting in software development). These papers indicate the gap by measuring only a bounded version of the construct, by showing context-dependent disagreement, or by attempting a partial closure without the duration, scale or contextual matching required for generalisation [20], [22], [12], [6].</w:t>
      </w:r>
    </w:p>
    <w:p>
      <w:r>
        <w:t>2.4.2.4 What would resolve it: Comparative organisational studies sampling start-ups, SMEs and large enterprises, measuring review capacity, tooling maturity, AI policy, defect escape, security remediation and refactoring capacity.</w:t>
      </w:r>
    </w:p>
    <w:p>
      <w:r>
        <w:t>2.4.2.5 Priority: Medium.</w:t>
      </w:r>
    </w:p>
    <w:p>
      <w:pPr>
        <w:pStyle w:val="Heading3"/>
      </w:pPr>
      <w:r>
        <w:t>2.4.3 Training and onboarding beyond controlled tasks</w:t>
      </w:r>
    </w:p>
    <w:p>
      <w:r>
        <w:t>2.4.3.1 Gap statement: Training and onboarding evidence is concentrated in bounded tasks and does not yet cover sustained entry into professional codebases.</w:t>
      </w:r>
    </w:p>
    <w:p>
      <w:r>
        <w:t>2.4.3.2 Why this is a gap: Workplace, developer-use and validation studies illuminate reliance, repair and generated-code quality, but they do not fully model the transition from bounded tool use to onboarding, code review, legacy systems, security standards and team conventions.</w:t>
      </w:r>
    </w:p>
    <w:p>
      <w:r>
        <w:t>2.4.3.3 Evidence from the corpus: Butler (2024, randomised controlled trial; workplace diary/RCT study of generative AI coding tools); Tang (2024, controlled lab study with mixed methods; 28 participants validating and repairing Copilot-generated code in 3 projects); Siddiq (2024, empirical quality assessment / developer-use study; ChatGPT-generated code and developer-use evidence); Asare (2024, user-centred security evaluation; developer/user evaluation of Copilot security behaviour). These papers indicate the gap by measuring only a bounded version of the construct, by showing context-dependent disagreement, or by attempting a partial closure without the duration, scale or contextual matching required for generalisation [9], [10], [11], [12].</w:t>
      </w:r>
    </w:p>
    <w:p>
      <w:r>
        <w:t>2.4.3.4 What would resolve it: Longitudinal onboarding studies following new hires, interns or retrained developers from training into professional teams, measuring validation habits, defect introduction, review uptake and maintenance understanding.</w:t>
      </w:r>
    </w:p>
    <w:p>
      <w:r>
        <w:t>2.4.3.5 Priority: Medium.</w:t>
      </w:r>
    </w:p>
    <w:p>
      <w:pPr>
        <w:pStyle w:val="Heading3"/>
      </w:pPr>
      <w:r>
        <w:t>2.4.4 Regulated industry contexts</w:t>
      </w:r>
    </w:p>
    <w:p>
      <w:r>
        <w:t>2.4.4.1 Gap statement: Regulated industry contexts remain empirically thin despite strong relevance for security, traceability, auditability and technical debt governance.</w:t>
      </w:r>
    </w:p>
    <w:p>
      <w:r>
        <w:t>2.4.4.2 Why this is a gap: The corpus contains security benchmarks and vulnerability studies, but evidence from regulated healthcare, finance, defence, transport, energy or public-sector development is not sufficient to determine how AI assistance interacts with compliance obligations.</w:t>
      </w:r>
    </w:p>
    <w:p>
      <w:r>
        <w:t>2.4.4.3 Evidence from the corpus: Belozerov (2026, secure-coding detection-and-repair empirical study; secure-coding tasks from detection to repair); Peng (2025, outcome-driven benchmark evaluation; CWEval functionality and security benchmark tasks); Pearce (2025, security benchmark empirical evaluation; security-sensitive programming scenarios; approximately 40% of generated programs vulnerable); Kozak (2025, systematic security-behaviour analysis; agent/developer-aid task trajectories; roughly 21% contained insecure actions). These papers indicate the gap by measuring only a bounded version of the construct, by showing context-dependent disagreement, or by attempting a partial closure without the duration, scale or contextual matching required for generalisation [29], [27], [4], [41].</w:t>
      </w:r>
    </w:p>
    <w:p>
      <w:r>
        <w:t>2.4.4.4 What would resolve it: Regulated-sector case studies and audits with compliance artefacts, model-use policies, traceability requirements, secure-development lifecycle checkpoints and expert regulatory review.</w:t>
      </w:r>
    </w:p>
    <w:p>
      <w:r>
        <w:t>2.4.4.5 Priority: High.</w:t>
      </w:r>
    </w:p>
    <w:p>
      <w:pPr>
        <w:pStyle w:val="Heading1"/>
      </w:pPr>
      <w:r>
        <w:t>3. Gap interaction analysis</w:t>
      </w:r>
    </w:p>
    <w:p>
      <w:r>
        <w:t>Several gaps compound each other. The empirical gap on maintenance effort beyond 12 months is intensified by the methodological gap on longitudinal multi-organisation follow-up: without durable provenance, release telemetry and cross-team comparison, the field cannot tell whether AI-generated debt is a transient review problem, a persistent maintenance burden, or an artefact of weak local testing. The same interaction affects post-deployment monitoring, because repository-level and benchmark-level papers can show residual risk but cannot by themselves connect that risk to operational incidents or later refactoring effort [5], [14], [15].</w:t>
      </w:r>
    </w:p>
    <w:p>
      <w:r>
        <w:t>A second compounding pattern links conceptual and empirical gaps. If trust, interaction quality and validation literacy remain weakly operationalised, then studies of underrepresented populations, education, onboarding and organisational adoption cannot explain why the same assistant improves outcomes for one developer group but increases risk for another. This is not simply a measurement problem; it affects intervention design, because training, policy and tool interfaces cannot be evaluated without constructs that connect behaviour to CQTD outcomes [11], [36], [9].</w:t>
      </w:r>
    </w:p>
    <w:p>
      <w:r>
        <w:t>A third interaction concerns context. Safety-critical, regulated, open-source and proprietary settings require different accountability mechanisms, but the corpus still relies heavily on benchmarks, public repositories and bounded security tasks. This makes it difficult to know whether evidence of vulnerability, hallucination, dependency failure or insecure agent behaviour should be treated as universal risk or as a risk conditional on domain governance, review capacity and assurance practices [28], [40], [41].</w:t>
      </w:r>
    </w:p>
    <w:p>
      <w:pPr>
        <w:pStyle w:val="Heading1"/>
      </w:pPr>
      <w:r>
        <w:t>4. Priority gaps for the next research cycle</w:t>
      </w:r>
    </w:p>
    <w:p>
      <w:r>
        <w:t>The highest-priority gaps are those that would change how the field interprets existing results: longitudinal multi-organisation follow-up, post-deployment monitoring, real-world evaluation protocols, maintenance attribution beyond 12 months, safety-critical/high-stakes evaluation, trust operationalisation, and prompting/validation literacy. These gaps are urgent because they sit between optimistic benchmark performance and the unresolved question of whether AI-assisted development produces sustainable code quality in real software organisations.</w:t>
      </w:r>
    </w:p>
    <w:p>
      <w:r>
        <w:t>The next research cycle should therefore move from isolated demonstrations to instrumented socio-technical evidence. A useful programme would combine standardised repository-level protocols, pre-registered randomised studies, multi-language production tasks, long-horizon provenance tracking and validated human-factor instruments. This does not mean abandoning benchmarks; rather, benchmarks should become one layer in a chain of evidence that also includes review behaviour, deployment outcomes, maintenance survival and organisational governance.</w:t>
      </w:r>
    </w:p>
    <w:p>
      <w:r>
        <w:t>Lower-priority gaps are not unimportant; they are lower because they depend on higher-priority measurement infrastructure. For example, comparing small and large organisations will be more informative once shared CQTD metrics and trust/validation instruments exist. Similarly, education and onboarding studies will be stronger once the field can measure validation literacy as a competency rather than as an implicit behavioural assumption.</w:t>
      </w:r>
    </w:p>
    <w:p>
      <w:pPr>
        <w:pStyle w:val="Heading1"/>
      </w:pPr>
      <w:r>
        <w:t>5. Headline gaps table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top"/>
          </w:tcPr>
          <w:p>
            <w:pPr>
              <w:spacing w:after="0"/>
            </w:pPr>
            <w:r/>
            <w:r>
              <w:rPr>
                <w:b/>
              </w:rPr>
              <w:t>#</w:t>
            </w:r>
          </w:p>
        </w:tc>
        <w:tc>
          <w:tcPr>
            <w:tcW w:type="dxa" w:w="2016"/>
            <w:vAlign w:val="top"/>
          </w:tcPr>
          <w:p>
            <w:pPr>
              <w:spacing w:after="0"/>
            </w:pPr>
            <w:r/>
            <w:r>
              <w:rPr>
                <w:b/>
              </w:rPr>
              <w:t>Gap</w:t>
            </w:r>
          </w:p>
        </w:tc>
        <w:tc>
          <w:tcPr>
            <w:tcW w:type="dxa" w:w="2016"/>
            <w:vAlign w:val="top"/>
          </w:tcPr>
          <w:p>
            <w:pPr>
              <w:spacing w:after="0"/>
            </w:pPr>
            <w:r/>
            <w:r>
              <w:rPr>
                <w:b/>
              </w:rPr>
              <w:t>Category</w:t>
            </w:r>
          </w:p>
        </w:tc>
        <w:tc>
          <w:tcPr>
            <w:tcW w:type="dxa" w:w="2016"/>
            <w:vAlign w:val="top"/>
          </w:tcPr>
          <w:p>
            <w:pPr>
              <w:spacing w:after="0"/>
            </w:pPr>
            <w:r/>
            <w:r>
              <w:rPr>
                <w:b/>
              </w:rPr>
              <w:t>Why priority</w:t>
            </w:r>
          </w:p>
        </w:tc>
        <w:tc>
          <w:tcPr>
            <w:tcW w:type="dxa" w:w="2016"/>
            <w:vAlign w:val="top"/>
          </w:tcPr>
          <w:p>
            <w:pPr>
              <w:spacing w:after="0"/>
            </w:pPr>
            <w:r/>
            <w:r>
              <w:rPr>
                <w:b/>
              </w:rPr>
              <w:t>Required study type</w:t>
            </w:r>
          </w:p>
        </w:tc>
      </w:tr>
      <w:tr>
        <w:tc>
          <w:tcPr>
            <w:tcW w:type="dxa" w:w="2016"/>
            <w:vAlign w:val="top"/>
          </w:tcPr>
          <w:p>
            <w:pPr>
              <w:spacing w:after="0"/>
            </w:pPr>
            <w:r/>
            <w:r>
              <w:rPr>
                <w:b w:val="0"/>
              </w:rPr>
              <w:t>1</w:t>
            </w:r>
          </w:p>
        </w:tc>
        <w:tc>
          <w:tcPr>
            <w:tcW w:type="dxa" w:w="2016"/>
            <w:vAlign w:val="top"/>
          </w:tcPr>
          <w:p>
            <w:pPr>
              <w:spacing w:after="0"/>
            </w:pPr>
            <w:r/>
            <w:r>
              <w:rPr>
                <w:b w:val="0"/>
              </w:rPr>
              <w:t>Longitudinal multi-organisation follow-up</w:t>
            </w:r>
          </w:p>
        </w:tc>
        <w:tc>
          <w:tcPr>
            <w:tcW w:type="dxa" w:w="2016"/>
            <w:vAlign w:val="top"/>
          </w:tcPr>
          <w:p>
            <w:pPr>
              <w:spacing w:after="0"/>
            </w:pPr>
            <w:r/>
            <w:r>
              <w:rPr>
                <w:b w:val="0"/>
              </w:rPr>
              <w:t>Methodological</w:t>
            </w:r>
          </w:p>
        </w:tc>
        <w:tc>
          <w:tcPr>
            <w:tcW w:type="dxa" w:w="2016"/>
            <w:vAlign w:val="top"/>
          </w:tcPr>
          <w:p>
            <w:pPr>
              <w:spacing w:after="0"/>
            </w:pPr>
            <w:r/>
            <w:r>
              <w:rPr>
                <w:b w:val="0"/>
              </w:rPr>
              <w:t>Needed to connect AI code creation with review, deployment, incidents and maintenance survival.</w:t>
            </w:r>
          </w:p>
        </w:tc>
        <w:tc>
          <w:tcPr>
            <w:tcW w:type="dxa" w:w="2016"/>
            <w:vAlign w:val="top"/>
          </w:tcPr>
          <w:p>
            <w:pPr>
              <w:spacing w:after="0"/>
            </w:pPr>
            <w:r/>
            <w:r>
              <w:rPr>
                <w:b w:val="0"/>
              </w:rPr>
              <w:t>18-36 month multi-organisation field study</w:t>
            </w:r>
          </w:p>
        </w:tc>
      </w:tr>
      <w:tr>
        <w:tc>
          <w:tcPr>
            <w:tcW w:type="dxa" w:w="2016"/>
            <w:vAlign w:val="top"/>
          </w:tcPr>
          <w:p>
            <w:pPr>
              <w:spacing w:after="0"/>
            </w:pPr>
            <w:r/>
            <w:r>
              <w:rPr>
                <w:b w:val="0"/>
              </w:rPr>
              <w:t>2</w:t>
            </w:r>
          </w:p>
        </w:tc>
        <w:tc>
          <w:tcPr>
            <w:tcW w:type="dxa" w:w="2016"/>
            <w:vAlign w:val="top"/>
          </w:tcPr>
          <w:p>
            <w:pPr>
              <w:spacing w:after="0"/>
            </w:pPr>
            <w:r/>
            <w:r>
              <w:rPr>
                <w:b w:val="0"/>
              </w:rPr>
              <w:t>Post-deployment monitoring</w:t>
            </w:r>
          </w:p>
        </w:tc>
        <w:tc>
          <w:tcPr>
            <w:tcW w:type="dxa" w:w="2016"/>
            <w:vAlign w:val="top"/>
          </w:tcPr>
          <w:p>
            <w:pPr>
              <w:spacing w:after="0"/>
            </w:pPr>
            <w:r/>
            <w:r>
              <w:rPr>
                <w:b w:val="0"/>
              </w:rPr>
              <w:t>Methodological</w:t>
            </w:r>
          </w:p>
        </w:tc>
        <w:tc>
          <w:tcPr>
            <w:tcW w:type="dxa" w:w="2016"/>
            <w:vAlign w:val="top"/>
          </w:tcPr>
          <w:p>
            <w:pPr>
              <w:spacing w:after="0"/>
            </w:pPr>
            <w:r/>
            <w:r>
              <w:rPr>
                <w:b w:val="0"/>
              </w:rPr>
              <w:t>Immediate correctness and security measures cannot show released-code consequences.</w:t>
            </w:r>
          </w:p>
        </w:tc>
        <w:tc>
          <w:tcPr>
            <w:tcW w:type="dxa" w:w="2016"/>
            <w:vAlign w:val="top"/>
          </w:tcPr>
          <w:p>
            <w:pPr>
              <w:spacing w:after="0"/>
            </w:pPr>
            <w:r/>
            <w:r>
              <w:rPr>
                <w:b w:val="0"/>
              </w:rPr>
              <w:t>Release-linked observability and incident-tracking study</w:t>
            </w:r>
          </w:p>
        </w:tc>
      </w:tr>
      <w:tr>
        <w:tc>
          <w:tcPr>
            <w:tcW w:type="dxa" w:w="2016"/>
            <w:vAlign w:val="top"/>
          </w:tcPr>
          <w:p>
            <w:pPr>
              <w:spacing w:after="0"/>
            </w:pPr>
            <w:r/>
            <w:r>
              <w:rPr>
                <w:b w:val="0"/>
              </w:rPr>
              <w:t>3</w:t>
            </w:r>
          </w:p>
        </w:tc>
        <w:tc>
          <w:tcPr>
            <w:tcW w:type="dxa" w:w="2016"/>
            <w:vAlign w:val="top"/>
          </w:tcPr>
          <w:p>
            <w:pPr>
              <w:spacing w:after="0"/>
            </w:pPr>
            <w:r/>
            <w:r>
              <w:rPr>
                <w:b w:val="0"/>
              </w:rPr>
              <w:t>Standardised real-world protocols</w:t>
            </w:r>
          </w:p>
        </w:tc>
        <w:tc>
          <w:tcPr>
            <w:tcW w:type="dxa" w:w="2016"/>
            <w:vAlign w:val="top"/>
          </w:tcPr>
          <w:p>
            <w:pPr>
              <w:spacing w:after="0"/>
            </w:pPr>
            <w:r/>
            <w:r>
              <w:rPr>
                <w:b w:val="0"/>
              </w:rPr>
              <w:t>Methodological</w:t>
            </w:r>
          </w:p>
        </w:tc>
        <w:tc>
          <w:tcPr>
            <w:tcW w:type="dxa" w:w="2016"/>
            <w:vAlign w:val="top"/>
          </w:tcPr>
          <w:p>
            <w:pPr>
              <w:spacing w:after="0"/>
            </w:pPr>
            <w:r/>
            <w:r>
              <w:rPr>
                <w:b w:val="0"/>
              </w:rPr>
              <w:t>Current protocols differ too much for robust cross-paper comparison.</w:t>
            </w:r>
          </w:p>
        </w:tc>
        <w:tc>
          <w:tcPr>
            <w:tcW w:type="dxa" w:w="2016"/>
            <w:vAlign w:val="top"/>
          </w:tcPr>
          <w:p>
            <w:pPr>
              <w:spacing w:after="0"/>
            </w:pPr>
            <w:r/>
            <w:r>
              <w:rPr>
                <w:b w:val="0"/>
              </w:rPr>
              <w:t>Repository-level protocol benchmark with common reporting</w:t>
            </w:r>
          </w:p>
        </w:tc>
      </w:tr>
      <w:tr>
        <w:tc>
          <w:tcPr>
            <w:tcW w:type="dxa" w:w="2016"/>
            <w:vAlign w:val="top"/>
          </w:tcPr>
          <w:p>
            <w:pPr>
              <w:spacing w:after="0"/>
            </w:pPr>
            <w:r/>
            <w:r>
              <w:rPr>
                <w:b w:val="0"/>
              </w:rPr>
              <w:t>4</w:t>
            </w:r>
          </w:p>
        </w:tc>
        <w:tc>
          <w:tcPr>
            <w:tcW w:type="dxa" w:w="2016"/>
            <w:vAlign w:val="top"/>
          </w:tcPr>
          <w:p>
            <w:pPr>
              <w:spacing w:after="0"/>
            </w:pPr>
            <w:r/>
            <w:r>
              <w:rPr>
                <w:b w:val="0"/>
              </w:rPr>
              <w:t>Maintenance effort attribution beyond 12 months</w:t>
            </w:r>
          </w:p>
        </w:tc>
        <w:tc>
          <w:tcPr>
            <w:tcW w:type="dxa" w:w="2016"/>
            <w:vAlign w:val="top"/>
          </w:tcPr>
          <w:p>
            <w:pPr>
              <w:spacing w:after="0"/>
            </w:pPr>
            <w:r/>
            <w:r>
              <w:rPr>
                <w:b w:val="0"/>
              </w:rPr>
              <w:t>Empirical</w:t>
            </w:r>
          </w:p>
        </w:tc>
        <w:tc>
          <w:tcPr>
            <w:tcW w:type="dxa" w:w="2016"/>
            <w:vAlign w:val="top"/>
          </w:tcPr>
          <w:p>
            <w:pPr>
              <w:spacing w:after="0"/>
            </w:pPr>
            <w:r/>
            <w:r>
              <w:rPr>
                <w:b w:val="0"/>
              </w:rPr>
              <w:t>Central to technical debt, yet causal attribution remains weak.</w:t>
            </w:r>
          </w:p>
        </w:tc>
        <w:tc>
          <w:tcPr>
            <w:tcW w:type="dxa" w:w="2016"/>
            <w:vAlign w:val="top"/>
          </w:tcPr>
          <w:p>
            <w:pPr>
              <w:spacing w:after="0"/>
            </w:pPr>
            <w:r/>
            <w:r>
              <w:rPr>
                <w:b w:val="0"/>
              </w:rPr>
              <w:t>Commit-provenance and event-history study</w:t>
            </w:r>
          </w:p>
        </w:tc>
      </w:tr>
      <w:tr>
        <w:tc>
          <w:tcPr>
            <w:tcW w:type="dxa" w:w="2016"/>
            <w:vAlign w:val="top"/>
          </w:tcPr>
          <w:p>
            <w:pPr>
              <w:spacing w:after="0"/>
            </w:pPr>
            <w:r/>
            <w:r>
              <w:rPr>
                <w:b w:val="0"/>
              </w:rPr>
              <w:t>5</w:t>
            </w:r>
          </w:p>
        </w:tc>
        <w:tc>
          <w:tcPr>
            <w:tcW w:type="dxa" w:w="2016"/>
            <w:vAlign w:val="top"/>
          </w:tcPr>
          <w:p>
            <w:pPr>
              <w:spacing w:after="0"/>
            </w:pPr>
            <w:r/>
            <w:r>
              <w:rPr>
                <w:b w:val="0"/>
              </w:rPr>
              <w:t>Safety-critical and high-stakes domains</w:t>
            </w:r>
          </w:p>
        </w:tc>
        <w:tc>
          <w:tcPr>
            <w:tcW w:type="dxa" w:w="2016"/>
            <w:vAlign w:val="top"/>
          </w:tcPr>
          <w:p>
            <w:pPr>
              <w:spacing w:after="0"/>
            </w:pPr>
            <w:r/>
            <w:r>
              <w:rPr>
                <w:b w:val="0"/>
              </w:rPr>
              <w:t>Empirical</w:t>
            </w:r>
          </w:p>
        </w:tc>
        <w:tc>
          <w:tcPr>
            <w:tcW w:type="dxa" w:w="2016"/>
            <w:vAlign w:val="top"/>
          </w:tcPr>
          <w:p>
            <w:pPr>
              <w:spacing w:after="0"/>
            </w:pPr>
            <w:r/>
            <w:r>
              <w:rPr>
                <w:b w:val="0"/>
              </w:rPr>
              <w:t>Risk consequences exceed ordinary benchmark failure and require assurance evidence.</w:t>
            </w:r>
          </w:p>
        </w:tc>
        <w:tc>
          <w:tcPr>
            <w:tcW w:type="dxa" w:w="2016"/>
            <w:vAlign w:val="top"/>
          </w:tcPr>
          <w:p>
            <w:pPr>
              <w:spacing w:after="0"/>
            </w:pPr>
            <w:r/>
            <w:r>
              <w:rPr>
                <w:b w:val="0"/>
              </w:rPr>
              <w:t>Domain-governed safety/security evaluation</w:t>
            </w:r>
          </w:p>
        </w:tc>
      </w:tr>
      <w:tr>
        <w:tc>
          <w:tcPr>
            <w:tcW w:type="dxa" w:w="2016"/>
            <w:vAlign w:val="top"/>
          </w:tcPr>
          <w:p>
            <w:pPr>
              <w:spacing w:after="0"/>
            </w:pPr>
            <w:r/>
            <w:r>
              <w:rPr>
                <w:b w:val="0"/>
              </w:rPr>
              <w:t>6</w:t>
            </w:r>
          </w:p>
        </w:tc>
        <w:tc>
          <w:tcPr>
            <w:tcW w:type="dxa" w:w="2016"/>
            <w:vAlign w:val="top"/>
          </w:tcPr>
          <w:p>
            <w:pPr>
              <w:spacing w:after="0"/>
            </w:pPr>
            <w:r/>
            <w:r>
              <w:rPr>
                <w:b w:val="0"/>
              </w:rPr>
              <w:t>Hidden cost accounting</w:t>
            </w:r>
          </w:p>
        </w:tc>
        <w:tc>
          <w:tcPr>
            <w:tcW w:type="dxa" w:w="2016"/>
            <w:vAlign w:val="top"/>
          </w:tcPr>
          <w:p>
            <w:pPr>
              <w:spacing w:after="0"/>
            </w:pPr>
            <w:r/>
            <w:r>
              <w:rPr>
                <w:b w:val="0"/>
              </w:rPr>
              <w:t>Empirical</w:t>
            </w:r>
          </w:p>
        </w:tc>
        <w:tc>
          <w:tcPr>
            <w:tcW w:type="dxa" w:w="2016"/>
            <w:vAlign w:val="top"/>
          </w:tcPr>
          <w:p>
            <w:pPr>
              <w:spacing w:after="0"/>
            </w:pPr>
            <w:r/>
            <w:r>
              <w:rPr>
                <w:b w:val="0"/>
              </w:rPr>
              <w:t>Productivity claims remain incomplete without validation, review and remediation costs.</w:t>
            </w:r>
          </w:p>
        </w:tc>
        <w:tc>
          <w:tcPr>
            <w:tcW w:type="dxa" w:w="2016"/>
            <w:vAlign w:val="top"/>
          </w:tcPr>
          <w:p>
            <w:pPr>
              <w:spacing w:after="0"/>
            </w:pPr>
            <w:r/>
            <w:r>
              <w:rPr>
                <w:b w:val="0"/>
              </w:rPr>
              <w:t>Prospective cost-benefit study with accounting data</w:t>
            </w:r>
          </w:p>
        </w:tc>
      </w:tr>
      <w:tr>
        <w:tc>
          <w:tcPr>
            <w:tcW w:type="dxa" w:w="2016"/>
            <w:vAlign w:val="top"/>
          </w:tcPr>
          <w:p>
            <w:pPr>
              <w:spacing w:after="0"/>
            </w:pPr>
            <w:r/>
            <w:r>
              <w:rPr>
                <w:b w:val="0"/>
              </w:rPr>
              <w:t>7</w:t>
            </w:r>
          </w:p>
        </w:tc>
        <w:tc>
          <w:tcPr>
            <w:tcW w:type="dxa" w:w="2016"/>
            <w:vAlign w:val="top"/>
          </w:tcPr>
          <w:p>
            <w:pPr>
              <w:spacing w:after="0"/>
            </w:pPr>
            <w:r/>
            <w:r>
              <w:rPr>
                <w:b w:val="0"/>
              </w:rPr>
              <w:t>Trust operationalisation</w:t>
            </w:r>
          </w:p>
        </w:tc>
        <w:tc>
          <w:tcPr>
            <w:tcW w:type="dxa" w:w="2016"/>
            <w:vAlign w:val="top"/>
          </w:tcPr>
          <w:p>
            <w:pPr>
              <w:spacing w:after="0"/>
            </w:pPr>
            <w:r/>
            <w:r>
              <w:rPr>
                <w:b w:val="0"/>
              </w:rPr>
              <w:t>Conceptual</w:t>
            </w:r>
          </w:p>
        </w:tc>
        <w:tc>
          <w:tcPr>
            <w:tcW w:type="dxa" w:w="2016"/>
            <w:vAlign w:val="top"/>
          </w:tcPr>
          <w:p>
            <w:pPr>
              <w:spacing w:after="0"/>
            </w:pPr>
            <w:r/>
            <w:r>
              <w:rPr>
                <w:b w:val="0"/>
              </w:rPr>
              <w:t>Reliance, confidence and verification are often conflated.</w:t>
            </w:r>
          </w:p>
        </w:tc>
        <w:tc>
          <w:tcPr>
            <w:tcW w:type="dxa" w:w="2016"/>
            <w:vAlign w:val="top"/>
          </w:tcPr>
          <w:p>
            <w:pPr>
              <w:spacing w:after="0"/>
            </w:pPr>
            <w:r/>
            <w:r>
              <w:rPr>
                <w:b w:val="0"/>
              </w:rPr>
              <w:t>Validated construct-development and behavioural study</w:t>
            </w:r>
          </w:p>
        </w:tc>
      </w:tr>
      <w:tr>
        <w:tc>
          <w:tcPr>
            <w:tcW w:type="dxa" w:w="2016"/>
            <w:vAlign w:val="top"/>
          </w:tcPr>
          <w:p>
            <w:pPr>
              <w:spacing w:after="0"/>
            </w:pPr>
            <w:r/>
            <w:r>
              <w:rPr>
                <w:b w:val="0"/>
              </w:rPr>
              <w:t>8</w:t>
            </w:r>
          </w:p>
        </w:tc>
        <w:tc>
          <w:tcPr>
            <w:tcW w:type="dxa" w:w="2016"/>
            <w:vAlign w:val="top"/>
          </w:tcPr>
          <w:p>
            <w:pPr>
              <w:spacing w:after="0"/>
            </w:pPr>
            <w:r/>
            <w:r>
              <w:rPr>
                <w:b w:val="0"/>
              </w:rPr>
              <w:t>AI-introduced versus AI-amplified debt</w:t>
            </w:r>
          </w:p>
        </w:tc>
        <w:tc>
          <w:tcPr>
            <w:tcW w:type="dxa" w:w="2016"/>
            <w:vAlign w:val="top"/>
          </w:tcPr>
          <w:p>
            <w:pPr>
              <w:spacing w:after="0"/>
            </w:pPr>
            <w:r/>
            <w:r>
              <w:rPr>
                <w:b w:val="0"/>
              </w:rPr>
              <w:t>Conceptual</w:t>
            </w:r>
          </w:p>
        </w:tc>
        <w:tc>
          <w:tcPr>
            <w:tcW w:type="dxa" w:w="2016"/>
            <w:vAlign w:val="top"/>
          </w:tcPr>
          <w:p>
            <w:pPr>
              <w:spacing w:after="0"/>
            </w:pPr>
            <w:r/>
            <w:r>
              <w:rPr>
                <w:b w:val="0"/>
              </w:rPr>
              <w:t>Debt attribution determines whether interventions target models, teams or legacy systems.</w:t>
            </w:r>
          </w:p>
        </w:tc>
        <w:tc>
          <w:tcPr>
            <w:tcW w:type="dxa" w:w="2016"/>
            <w:vAlign w:val="top"/>
          </w:tcPr>
          <w:p>
            <w:pPr>
              <w:spacing w:after="0"/>
            </w:pPr>
            <w:r/>
            <w:r>
              <w:rPr>
                <w:b w:val="0"/>
              </w:rPr>
              <w:t>Counterfactual debt-attribution framework and repository study</w:t>
            </w:r>
          </w:p>
        </w:tc>
      </w:tr>
      <w:tr>
        <w:tc>
          <w:tcPr>
            <w:tcW w:type="dxa" w:w="2016"/>
            <w:vAlign w:val="top"/>
          </w:tcPr>
          <w:p>
            <w:pPr>
              <w:spacing w:after="0"/>
            </w:pPr>
            <w:r/>
            <w:r>
              <w:rPr>
                <w:b w:val="0"/>
              </w:rPr>
              <w:t>9</w:t>
            </w:r>
          </w:p>
        </w:tc>
        <w:tc>
          <w:tcPr>
            <w:tcW w:type="dxa" w:w="2016"/>
            <w:vAlign w:val="top"/>
          </w:tcPr>
          <w:p>
            <w:pPr>
              <w:spacing w:after="0"/>
            </w:pPr>
            <w:r/>
            <w:r>
              <w:rPr>
                <w:b w:val="0"/>
              </w:rPr>
              <w:t>Prompting and validation literacy</w:t>
            </w:r>
          </w:p>
        </w:tc>
        <w:tc>
          <w:tcPr>
            <w:tcW w:type="dxa" w:w="2016"/>
            <w:vAlign w:val="top"/>
          </w:tcPr>
          <w:p>
            <w:pPr>
              <w:spacing w:after="0"/>
            </w:pPr>
            <w:r/>
            <w:r>
              <w:rPr>
                <w:b w:val="0"/>
              </w:rPr>
              <w:t>Conceptual</w:t>
            </w:r>
          </w:p>
        </w:tc>
        <w:tc>
          <w:tcPr>
            <w:tcW w:type="dxa" w:w="2016"/>
            <w:vAlign w:val="top"/>
          </w:tcPr>
          <w:p>
            <w:pPr>
              <w:spacing w:after="0"/>
            </w:pPr>
            <w:r/>
            <w:r>
              <w:rPr>
                <w:b w:val="0"/>
              </w:rPr>
              <w:t>Training and policy require measurable competencies tied to CQTD outcomes.</w:t>
            </w:r>
          </w:p>
        </w:tc>
        <w:tc>
          <w:tcPr>
            <w:tcW w:type="dxa" w:w="2016"/>
            <w:vAlign w:val="top"/>
          </w:tcPr>
          <w:p>
            <w:pPr>
              <w:spacing w:after="0"/>
            </w:pPr>
            <w:r/>
            <w:r>
              <w:rPr>
                <w:b w:val="0"/>
              </w:rPr>
              <w:t>Competency-model validation study</w:t>
            </w:r>
          </w:p>
        </w:tc>
      </w:tr>
      <w:tr>
        <w:tc>
          <w:tcPr>
            <w:tcW w:type="dxa" w:w="2016"/>
            <w:vAlign w:val="top"/>
          </w:tcPr>
          <w:p>
            <w:pPr>
              <w:spacing w:after="0"/>
            </w:pPr>
            <w:r/>
            <w:r>
              <w:rPr>
                <w:b w:val="0"/>
              </w:rPr>
              <w:t>10</w:t>
            </w:r>
          </w:p>
        </w:tc>
        <w:tc>
          <w:tcPr>
            <w:tcW w:type="dxa" w:w="2016"/>
            <w:vAlign w:val="top"/>
          </w:tcPr>
          <w:p>
            <w:pPr>
              <w:spacing w:after="0"/>
            </w:pPr>
            <w:r/>
            <w:r>
              <w:rPr>
                <w:b w:val="0"/>
              </w:rPr>
              <w:t>Regulated industry contexts</w:t>
            </w:r>
          </w:p>
        </w:tc>
        <w:tc>
          <w:tcPr>
            <w:tcW w:type="dxa" w:w="2016"/>
            <w:vAlign w:val="top"/>
          </w:tcPr>
          <w:p>
            <w:pPr>
              <w:spacing w:after="0"/>
            </w:pPr>
            <w:r/>
            <w:r>
              <w:rPr>
                <w:b w:val="0"/>
              </w:rPr>
              <w:t>Contextual</w:t>
            </w:r>
          </w:p>
        </w:tc>
        <w:tc>
          <w:tcPr>
            <w:tcW w:type="dxa" w:w="2016"/>
            <w:vAlign w:val="top"/>
          </w:tcPr>
          <w:p>
            <w:pPr>
              <w:spacing w:after="0"/>
            </w:pPr>
            <w:r/>
            <w:r>
              <w:rPr>
                <w:b w:val="0"/>
              </w:rPr>
              <w:t>Compliance, auditability and traceability change acceptable quality thresholds.</w:t>
            </w:r>
          </w:p>
        </w:tc>
        <w:tc>
          <w:tcPr>
            <w:tcW w:type="dxa" w:w="2016"/>
            <w:vAlign w:val="top"/>
          </w:tcPr>
          <w:p>
            <w:pPr>
              <w:spacing w:after="0"/>
            </w:pPr>
            <w:r/>
            <w:r>
              <w:rPr>
                <w:b w:val="0"/>
              </w:rPr>
              <w:t>Regulated-sector case studies and audits</w:t>
            </w:r>
          </w:p>
        </w:tc>
      </w:tr>
    </w:tbl>
    <w:p>
      <w:pPr>
        <w:pStyle w:val="Heading1"/>
      </w:pPr>
      <w:r>
        <w:t>6. References</w:t>
      </w:r>
    </w:p>
    <w:p>
      <w:r>
        <w:t>[1] Comparative Analysis of AI Models for Python Code Generation: A HumanEval Benchmark Study. Bayram, 2025. Bibkey: bayram_comparative_2025.</w:t>
      </w:r>
    </w:p>
    <w:p>
      <w:r>
        <w:t>[2] Evaluating Software Development Agents: Patch Patterns, Code Quality, and Issue Complexity in Real-World GitHub Scenarios. Chen, 2024. Bibkey: chen_evaluating_2024.</w:t>
      </w:r>
    </w:p>
    <w:p>
      <w:r>
        <w:t>[3] Debt Behind the AI Boom: A Large-Scale Empirical Study of AI-Generated Code in the Wild. Liu, 2026. Bibkey: liu_debt_2026.</w:t>
      </w:r>
    </w:p>
    <w:p>
      <w:r>
        <w:t>[4] Asleep at the Keyboard? Assessing the Security of GitHub Copilot's Code Contributions. Pearce, 2025. Bibkey: pearce_asleep_2025.</w:t>
      </w:r>
    </w:p>
    <w:p>
      <w:r>
        <w:t>[5] Echoes of AI: Investigating the Downstream Effects of AI Assistants on Software Maintainability. Borg, 2026. Bibkey: borg_echoes_2026.</w:t>
      </w:r>
    </w:p>
    <w:p>
      <w:r>
        <w:t>[6] The Impact of AI-Pair Programmers on Code Quality and Developer Satisfaction: Evidence from TiMi studio. Chen, 2024. Bibkey: chen_impact_2024.</w:t>
      </w:r>
    </w:p>
    <w:p>
      <w:r>
        <w:t>[7] How Safe Are AI-Generated Patches? A Large-scale Study on Security Risks in LLM and Agentic Automated Program Repair on SWE-bench. Sajadi, 2025. Bibkey: sajadi_how_2025.</w:t>
      </w:r>
    </w:p>
    <w:p>
      <w:r>
        <w:t>[8] Lost at C: A User Study on the Security Implications of Large Language Model Code Assistants. Sandoval, 2022. Bibkey: sandoval_lost_2022.</w:t>
      </w:r>
    </w:p>
    <w:p>
      <w:r>
        <w:t>[9] Dear Diary: A randomized controlled trial of Generative AI coding tools in the workplace. Butler, 2024. Bibkey: butler_dear_2024.</w:t>
      </w:r>
    </w:p>
    <w:p>
      <w:r>
        <w:t>[10] Developer Behaviors in Validating and Repairing LLM-Generated Code Using IDE and Eye Tracking. Tang, 2024. Bibkey: tang_developer_2024.</w:t>
      </w:r>
    </w:p>
    <w:p>
      <w:r>
        <w:t>[11] Quality Assessment of ChatGPT Generated Code and their Use by Developers. Siddiq, 2024. Bibkey: siddiq_quality_2024.</w:t>
      </w:r>
    </w:p>
    <w:p>
      <w:r>
        <w:t>[12] A User-centered Security Evaluation of Copilot. Asare, 2024. Bibkey: asare_user-centered_2024.</w:t>
      </w:r>
    </w:p>
    <w:p>
      <w:r>
        <w:t>[13] Security Weaknesses of Copilot-Generated Code in GitHub Projects: An Empirical Study. Fu, 2025. Bibkey: fu_security_2025.</w:t>
      </w:r>
    </w:p>
    <w:p>
      <w:r>
        <w:t>[14] AI-Generated Code Is Not Reproducible (Yet): An Empirical Study of Dependency Gaps in LLM-Based Coding Agents. Vangala, 2026. Bibkey: vangala_ai-generated_2026.</w:t>
      </w:r>
    </w:p>
    <w:p>
      <w:r>
        <w:t>[15] ReCatcher: Towards LLMs Regression Testing for Code Generation. Abbassi, 2025. Bibkey: abbassi_recatcher_2025.</w:t>
      </w:r>
    </w:p>
    <w:p>
      <w:r>
        <w:t>[16] Program Code Generation with Generative AIs. Idrisov, 2024. Bibkey: idrisov_program_2024.</w:t>
      </w:r>
    </w:p>
    <w:p>
      <w:r>
        <w:t>[17] SWE-Bench+: Enhanced Coding Benchmark for LLMs. Aleithan, 2024. Bibkey: aleithan_swe-bench_2024.</w:t>
      </w:r>
    </w:p>
    <w:p>
      <w:r>
        <w:t>[18] Top General Performance = Top Domain Performance? DomainCodeBench: A Multi-domain Code Generation Benchmark. Zheng, 2025. Bibkey: zheng_top_2025.</w:t>
      </w:r>
    </w:p>
    <w:p>
      <w:r>
        <w:t>[19] EvoCodeBench: An Evolving Code Generation Benchmark Aligned with Real-World Code Repositories. Li, 2024. Bibkey: li_evocodebench_2024.</w:t>
      </w:r>
    </w:p>
    <w:p>
      <w:r>
        <w:t>[20] MaPPing Your Model: Assessing the Impact of Adversarial Attacks on LLM-based Programming Assistants. Heibel, 2024. Bibkey: heibel_mapping_2024.</w:t>
      </w:r>
    </w:p>
    <w:p>
      <w:r>
        <w:t>[21] Turbulence: Systematically and Automatically Testing Instruction-Tuned Large Language Models for Code. Honarvar, 2025. Bibkey: honarvar_turbulence_2025.</w:t>
      </w:r>
    </w:p>
    <w:p>
      <w:r>
        <w:t>[22] Applying Generative Artificial Intelligence for Vulnerability Fixing in a Proprietary Software Ecosystem. Costa, 2026. Bibkey: costa_applying_2026.</w:t>
      </w:r>
    </w:p>
    <w:p>
      <w:r>
        <w:t>[23] Large Language Models for Secure Code Assessment: A Multi-Language Empirical Study. Dozono, 2026. Bibkey: dozono_large_2026.</w:t>
      </w:r>
    </w:p>
    <w:p>
      <w:r>
        <w:t>[24] Who is Smarter? An Empirical Study of AI-Based Smart Contract Creation. Karanjai, 2023. Bibkey: karanjai_who_2023.</w:t>
      </w:r>
    </w:p>
    <w:p>
      <w:r>
        <w:t>[25] Are They All Good? Evaluating the Quality of CoTs in LLM-based Code Generation. Zhang, 2025. Bibkey: zhang_are_2025.</w:t>
      </w:r>
    </w:p>
    <w:p>
      <w:r>
        <w:t>[26] Is GitHub's Copilot as Bad as Humans at Introducing Vulnerabilities in Code?. Asare, 2024. Bibkey: asare_is_2024.</w:t>
      </w:r>
    </w:p>
    <w:p>
      <w:r>
        <w:t>[27] CWEval: Outcome-driven Evaluation on Functionality and Security of LLM Code Generation. Peng, 2025. Bibkey: peng_cweval_2025.</w:t>
      </w:r>
    </w:p>
    <w:p>
      <w:r>
        <w:t>[28] SecureVibeBench: Evaluating Secure Coding Capabilities of Code Agents with Realistic Vulnerability Scenarios. Chen, 2026. Bibkey: chen_securevibebench_2026.</w:t>
      </w:r>
    </w:p>
    <w:p>
      <w:r>
        <w:t>[29] Secure Coding with AI -- From Detection to Repair. Belozerov, 2026. Bibkey: belozerov_secure_2026.</w:t>
      </w:r>
    </w:p>
    <w:p>
      <w:r>
        <w:t>[30] Poisoned ChatGPT Finds Work for Idle Hands: Exploring Developers' Coding Practices with Insecure Suggestions from Poisoned AI Models. Oh, 2023. Bibkey: oh_poisoned_2023.</w:t>
      </w:r>
    </w:p>
    <w:p>
      <w:r>
        <w:t>[31] How Robust are LLM-Generated Library Imports? An Empirical Study using Stack Overflow. Latendresse, 2025. Bibkey: latendresse_how_2025.</w:t>
      </w:r>
    </w:p>
    <w:p>
      <w:r>
        <w:t>[32] AI Writes, We Analyze: The ChatGPT Python Code Saga. Rabbi, 2024. Bibkey: rabbi_ai_2024.</w:t>
      </w:r>
    </w:p>
    <w:p>
      <w:r>
        <w:t>[33] Can LLMs Patch Security Issues?. Alrashedy, 2024. Bibkey: alrashedy_can_2024.</w:t>
      </w:r>
    </w:p>
    <w:p>
      <w:r>
        <w:t>[34] From Prompts to Properties: Rethinking LLM Code Generation with Property-Based Testing. Bose, 2025. Bibkey: bose_prompts_2025.</w:t>
      </w:r>
    </w:p>
    <w:p>
      <w:r>
        <w:t>[35] Prompting Techniques for Secure Code Generation: A Systematic Investigation. Tony, 2025. Bibkey: tony_prompting_2025.</w:t>
      </w:r>
    </w:p>
    <w:p>
      <w:r>
        <w:t>[36] Developer-LLM Conversations: An Empirical Study of Interactions and Generated Code Quality. Zhong, 2025. Bibkey: zhong_developer-llm_2025.</w:t>
      </w:r>
    </w:p>
    <w:p>
      <w:r>
        <w:t>[37] How Efficient is LLM-Generated Code? A Rigorous &amp; High-Standard Benchmark. Qiu, 2025. Bibkey: qiu_how_2025.</w:t>
      </w:r>
    </w:p>
    <w:p>
      <w:r>
        <w:t>[38] Library Hallucinations in LLMs: Risk Analysis Grounded in Developer Queries. Twist, 2025. Bibkey: twist_library_2025.</w:t>
      </w:r>
    </w:p>
    <w:p>
      <w:r>
        <w:t>[39] Enhancing Security of AI-Based Code Synthesis with GitHub Copilot via Cheap and Efficient Prompt-Engineering. Res, 2024. Bibkey: res_enhancing_2024.</w:t>
      </w:r>
    </w:p>
    <w:p>
      <w:r>
        <w:t>[40] Security Vulnerabilities in AI-Generated Code: A Large-Scale Analysis of Public GitHub Repositories. Schreiber, 2026. Bibkey: schreiber_security_2026.</w:t>
      </w:r>
    </w:p>
    <w:p>
      <w:r>
        <w:t>[41] When Developer Aid Becomes Security Debt: A Systematic Analysis of Insecure Behaviors in LLM Coding Agents. Kozak, 2025. Bibkey: kozak_when_2025.</w:t>
      </w:r>
    </w:p>
    <w:p>
      <w:pPr>
        <w:pStyle w:val="Heading1"/>
      </w:pPr>
      <w:r>
        <w:t>7. Reference-alignment spot-check</w:t>
      </w:r>
    </w:p>
    <w:p>
      <w:r>
        <w:t>Zero ghosts: passed; all 41 cited bibkeys exist literally in NB1_CQTD_CORE.bib.</w:t>
      </w:r>
    </w:p>
    <w:p>
      <w:r>
        <w:t>References alignment: passed; the References section contains exactly the 41 papers cited inline and no uncited papers.</w:t>
      </w:r>
    </w:p>
    <w:p>
      <w:r>
        <w:t>Paper item cap: passed; no paper anchors more than five gap items. Highest repeated gap-item counts: siddiq_quality_2024: 5; asare_user-centered_2024: 5; chen_impact_2024: 4; butler_dear_2024: 4; tang_developer_2024: 4.</w:t>
      </w:r>
    </w:p>
    <w:p>
      <w:r>
        <w:t>Sub-point numbering: passed; each gap contains .1 Gap statement, .2 Why this is a gap, .3 Evidence from the corpus, .4 What would resolve it, and .5 Priority.</w:t>
      </w:r>
    </w:p>
    <w:p>
      <w:r>
        <w:t>Spot-check: inline reference [1] aligns with bibkey bayram_comparative_2025 and title 'Comparative Analysis of AI Models for Python Code Generation: A HumanEval Benchmark Study'.</w:t>
      </w:r>
    </w:p>
    <w:p>
      <w:r>
        <w:t>Spot-check: inline reference [21] aligns with bibkey honarvar_turbulence_2025 and title 'Turbulence: Systematically and Automatically Testing Instruction-Tuned Large Language Models for Code'.</w:t>
      </w:r>
    </w:p>
    <w:p>
      <w:r>
        <w:t>Spot-check: inline reference [41] aligns with bibkey kozak_when_2025 and title 'When Developer Aid Becomes Security Debt: A Systematic Analysis of Insecure Behaviors in LLM Coding Agents'.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4.5 - CQTD Research Gaps Taxonomy</dc:title>
  <dc:subject>SLR on AI-assisted programming: code quality and technical debt research gaps</dc:subject>
  <dc:creator>OpenAI</dc:creator>
  <cp:keywords>AI-assisted programming; code quality; technical debt; research gaps; systematic literature review</cp:keywords>
  <dc:description>generated by python-docx</dc:description>
  <cp:lastModifiedBy/>
  <cp:revision>1</cp:revision>
  <dcterms:created xsi:type="dcterms:W3CDTF">2013-12-23T23:15:00Z</dcterms:created>
  <dcterms:modified xsi:type="dcterms:W3CDTF">2013-12-23T23:15:00Z</dcterms:modified>
  <cp:category/>
</cp:coreProperties>
</file>