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4.3 — CQTD Cross-Dimensional Patterns</w:t>
      </w:r>
    </w:p>
    <w:p>
      <w:r>
        <w:t>Artefact: NB2_CQTD_Support, integrated with NB1_CQTD_CORE. Primary evidence base: Phase_3_4_CQTD_Dimension_Synthesis_v1.docx, with Phase_4_1_CQTD_Theoretical_Contribution_v1.docx and Phase_4_2_CQTD_Narrative_Arc_v1.docx used to preserve construct mapping and narrative consistency. Bibkeys were verified against NB1_CQTD_CORE.bib and NB2_CQTD_Support.bib.</w:t>
      </w:r>
    </w:p>
    <w:p>
      <w:pPr>
        <w:pStyle w:val="Heading1"/>
      </w:pPr>
      <w:r>
        <w:t>1. Cross-dimensional pattern table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rPr>
                <w:sz w:val="14"/>
              </w:rPr>
              <w:t>Dimension</w:t>
            </w:r>
          </w:p>
        </w:tc>
        <w:tc>
          <w:tcPr>
            <w:tcW w:type="dxa" w:w="2074"/>
          </w:tcPr>
          <w:p>
            <w:r>
              <w:rPr>
                <w:sz w:val="14"/>
              </w:rPr>
              <w:t>CQTD connection</w:t>
            </w:r>
          </w:p>
        </w:tc>
        <w:tc>
          <w:tcPr>
            <w:tcW w:type="dxa" w:w="2074"/>
          </w:tcPr>
          <w:p>
            <w:r>
              <w:rPr>
                <w:sz w:val="14"/>
              </w:rPr>
              <w:t>Direction of influence</w:t>
            </w:r>
          </w:p>
        </w:tc>
        <w:tc>
          <w:tcPr>
            <w:tcW w:type="dxa" w:w="2074"/>
          </w:tcPr>
          <w:p>
            <w:r>
              <w:rPr>
                <w:sz w:val="14"/>
              </w:rPr>
              <w:t>Key CQTD bibkeys</w:t>
            </w:r>
          </w:p>
        </w:tc>
        <w:tc>
          <w:tcPr>
            <w:tcW w:type="dxa" w:w="2074"/>
          </w:tcPr>
          <w:p>
            <w:r>
              <w:rPr>
                <w:sz w:val="14"/>
              </w:rPr>
              <w:t>Strength</w:t>
            </w:r>
          </w:p>
        </w:tc>
      </w:tr>
      <w:tr>
        <w:tc>
          <w:tcPr>
            <w:tcW w:type="dxa" w:w="2074"/>
          </w:tcPr>
          <w:p>
            <w:r>
              <w:rPr>
                <w:sz w:val="14"/>
              </w:rPr>
              <w:t>Productivity</w:t>
            </w:r>
          </w:p>
        </w:tc>
        <w:tc>
          <w:tcPr>
            <w:tcW w:type="dxa" w:w="2074"/>
          </w:tcPr>
          <w:p>
            <w:r>
              <w:rPr>
                <w:sz w:val="14"/>
              </w:rPr>
              <w:t>CQTD qualifies productivity: faster generation creates candidate artefacts whose value depends on verification of correctness, security, maintainability and benchmark realism.</w:t>
            </w:r>
          </w:p>
        </w:tc>
        <w:tc>
          <w:tcPr>
            <w:tcW w:type="dxa" w:w="2074"/>
          </w:tcPr>
          <w:p>
            <w:r>
              <w:rPr>
                <w:sz w:val="14"/>
              </w:rPr>
              <w:t>Bidirectional</w:t>
            </w:r>
          </w:p>
        </w:tc>
        <w:tc>
          <w:tcPr>
            <w:tcW w:type="dxa" w:w="2074"/>
          </w:tcPr>
          <w:p>
            <w:r>
              <w:rPr>
                <w:sz w:val="14"/>
              </w:rPr>
              <w:t>liu_is_2023; li_evocodebench_2024; ma_rethinking_2025; liu_debt_2026 [1, 2, 3, 4]</w:t>
            </w:r>
          </w:p>
        </w:tc>
        <w:tc>
          <w:tcPr>
            <w:tcW w:type="dxa" w:w="2074"/>
          </w:tcPr>
          <w:p>
            <w:r>
              <w:rPr>
                <w:sz w:val="14"/>
              </w:rPr>
              <w:t>Strong</w:t>
            </w:r>
          </w:p>
        </w:tc>
      </w:tr>
      <w:tr>
        <w:tc>
          <w:tcPr>
            <w:tcW w:type="dxa" w:w="2074"/>
          </w:tcPr>
          <w:p>
            <w:r>
              <w:rPr>
                <w:sz w:val="14"/>
              </w:rPr>
              <w:t>Human-AI Interaction</w:t>
            </w:r>
          </w:p>
        </w:tc>
        <w:tc>
          <w:tcPr>
            <w:tcW w:type="dxa" w:w="2074"/>
          </w:tcPr>
          <w:p>
            <w:r>
              <w:rPr>
                <w:sz w:val="14"/>
              </w:rPr>
              <w:t>Prompts, follow-up turns, proactive assistance and developer validation behaviours shape whether generated code is corrected, accepted, rejected or allowed to propagate hidden defects.</w:t>
            </w:r>
          </w:p>
        </w:tc>
        <w:tc>
          <w:tcPr>
            <w:tcW w:type="dxa" w:w="2074"/>
          </w:tcPr>
          <w:p>
            <w:r>
              <w:rPr>
                <w:sz w:val="14"/>
              </w:rPr>
              <w:t>Bidirectional</w:t>
            </w:r>
          </w:p>
        </w:tc>
        <w:tc>
          <w:tcPr>
            <w:tcW w:type="dxa" w:w="2074"/>
          </w:tcPr>
          <w:p>
            <w:r>
              <w:rPr>
                <w:sz w:val="14"/>
              </w:rPr>
              <w:t>tang_developer_2024; zhong_developer-llm_2025; chen_need_2024; rawal_benchmarking_2025 [5, 6, 7, 8]</w:t>
            </w:r>
          </w:p>
        </w:tc>
        <w:tc>
          <w:tcPr>
            <w:tcW w:type="dxa" w:w="2074"/>
          </w:tcPr>
          <w:p>
            <w:r>
              <w:rPr>
                <w:sz w:val="14"/>
              </w:rPr>
              <w:t>Strong</w:t>
            </w:r>
          </w:p>
        </w:tc>
      </w:tr>
      <w:tr>
        <w:tc>
          <w:tcPr>
            <w:tcW w:type="dxa" w:w="2074"/>
          </w:tcPr>
          <w:p>
            <w:r>
              <w:rPr>
                <w:sz w:val="14"/>
              </w:rPr>
              <w:t>Cognitive Load / Human Factors</w:t>
            </w:r>
          </w:p>
        </w:tc>
        <w:tc>
          <w:tcPr>
            <w:tcW w:type="dxa" w:w="2074"/>
          </w:tcPr>
          <w:p>
            <w:r>
              <w:rPr>
                <w:sz w:val="14"/>
              </w:rPr>
              <w:t>CQTD evidence implies cognitive redistribution from first-pass construction to supervision of tests, dependencies, APIs, patch semantics, security and workflow side-effects; direct load measurement remains outside this artefact.</w:t>
            </w:r>
          </w:p>
        </w:tc>
        <w:tc>
          <w:tcPr>
            <w:tcW w:type="dxa" w:w="2074"/>
          </w:tcPr>
          <w:p>
            <w:r>
              <w:rPr>
                <w:sz w:val="14"/>
              </w:rPr>
              <w:t>CQTD -&gt; dimension</w:t>
            </w:r>
          </w:p>
        </w:tc>
        <w:tc>
          <w:tcPr>
            <w:tcW w:type="dxa" w:w="2074"/>
          </w:tcPr>
          <w:p>
            <w:r>
              <w:rPr>
                <w:sz w:val="14"/>
              </w:rPr>
              <w:t>tang_developer_2024; twist_library_2025; abbassi_recatcher_2025; sajadi_how_2025; vangala_ai-generated_2026 [5, 9, 10, 11, 12]</w:t>
            </w:r>
          </w:p>
        </w:tc>
        <w:tc>
          <w:tcPr>
            <w:tcW w:type="dxa" w:w="2074"/>
          </w:tcPr>
          <w:p>
            <w:r>
              <w:rPr>
                <w:sz w:val="14"/>
              </w:rPr>
              <w:t>Moderate</w:t>
            </w:r>
          </w:p>
        </w:tc>
      </w:tr>
      <w:tr>
        <w:tc>
          <w:tcPr>
            <w:tcW w:type="dxa" w:w="2074"/>
          </w:tcPr>
          <w:p>
            <w:r>
              <w:rPr>
                <w:sz w:val="14"/>
              </w:rPr>
              <w:t>Organisational Impact</w:t>
            </w:r>
          </w:p>
        </w:tc>
        <w:tc>
          <w:tcPr>
            <w:tcW w:type="dxa" w:w="2074"/>
          </w:tcPr>
          <w:p>
            <w:r>
              <w:rPr>
                <w:sz w:val="14"/>
              </w:rPr>
              <w:t>Sustained CQTD control depends on project-level review protocols, repository integration, security assessment and quality gates; Phase 3.4 grounds the need for such controls but does not directly measure organisational adoption.</w:t>
            </w:r>
          </w:p>
        </w:tc>
        <w:tc>
          <w:tcPr>
            <w:tcW w:type="dxa" w:w="2074"/>
          </w:tcPr>
          <w:p>
            <w:r>
              <w:rPr>
                <w:sz w:val="14"/>
              </w:rPr>
              <w:t>CQTD -&gt; dimension</w:t>
            </w:r>
          </w:p>
        </w:tc>
        <w:tc>
          <w:tcPr>
            <w:tcW w:type="dxa" w:w="2074"/>
          </w:tcPr>
          <w:p>
            <w:r>
              <w:rPr>
                <w:sz w:val="14"/>
              </w:rPr>
              <w:t>borg_echoes_2026; liu_debt_2026; vangala_ai-generated_2026; chen_evaluating_2024 [13, 4, 12, 14]</w:t>
            </w:r>
          </w:p>
        </w:tc>
        <w:tc>
          <w:tcPr>
            <w:tcW w:type="dxa" w:w="2074"/>
          </w:tcPr>
          <w:p>
            <w:r>
              <w:rPr>
                <w:sz w:val="14"/>
              </w:rPr>
              <w:t>Moderate</w:t>
            </w:r>
          </w:p>
        </w:tc>
      </w:tr>
      <w:tr>
        <w:tc>
          <w:tcPr>
            <w:tcW w:type="dxa" w:w="2074"/>
          </w:tcPr>
          <w:p>
            <w:r>
              <w:rPr>
                <w:sz w:val="14"/>
              </w:rPr>
              <w:t>Economic Impact</w:t>
            </w:r>
          </w:p>
        </w:tc>
        <w:tc>
          <w:tcPr>
            <w:tcW w:type="dxa" w:w="2074"/>
          </w:tcPr>
          <w:p>
            <w:r>
              <w:rPr>
                <w:sz w:val="14"/>
              </w:rPr>
              <w:t>CQTD creates a plausible cost pathway through verification overhead, rework, security review, regression testing and maintenance debt, but Phase 3.4 does not provide direct cost estimates.</w:t>
            </w:r>
          </w:p>
        </w:tc>
        <w:tc>
          <w:tcPr>
            <w:tcW w:type="dxa" w:w="2074"/>
          </w:tcPr>
          <w:p>
            <w:r>
              <w:rPr>
                <w:sz w:val="14"/>
              </w:rPr>
              <w:t>CQTD -&gt; dimension</w:t>
            </w:r>
          </w:p>
        </w:tc>
        <w:tc>
          <w:tcPr>
            <w:tcW w:type="dxa" w:w="2074"/>
          </w:tcPr>
          <w:p>
            <w:r>
              <w:rPr>
                <w:sz w:val="14"/>
              </w:rPr>
              <w:t>ma_rethinking_2025; abbassi_recatcher_2025; liu_debt_2026; sajadi_how_2025 [3, 10, 4, 11]</w:t>
            </w:r>
          </w:p>
        </w:tc>
        <w:tc>
          <w:tcPr>
            <w:tcW w:type="dxa" w:w="2074"/>
          </w:tcPr>
          <w:p>
            <w:r>
              <w:rPr>
                <w:sz w:val="14"/>
              </w:rPr>
              <w:t>Speculative</w:t>
            </w:r>
          </w:p>
        </w:tc>
      </w:tr>
      <w:tr>
        <w:tc>
          <w:tcPr>
            <w:tcW w:type="dxa" w:w="2074"/>
          </w:tcPr>
          <w:p>
            <w:r>
              <w:rPr>
                <w:sz w:val="14"/>
              </w:rPr>
              <w:t>Perception and Trust</w:t>
            </w:r>
          </w:p>
        </w:tc>
        <w:tc>
          <w:tcPr>
            <w:tcW w:type="dxa" w:w="2074"/>
          </w:tcPr>
          <w:p>
            <w:r>
              <w:rPr>
                <w:sz w:val="14"/>
              </w:rPr>
              <w:t>Trust must be calibrated because visible success, plausible style or model reputation do not reliably indicate security, maintainability or semantic adequacy; over-trust can leave hidden defects undetected.</w:t>
            </w:r>
          </w:p>
        </w:tc>
        <w:tc>
          <w:tcPr>
            <w:tcW w:type="dxa" w:w="2074"/>
          </w:tcPr>
          <w:p>
            <w:r>
              <w:rPr>
                <w:sz w:val="14"/>
              </w:rPr>
              <w:t>Bidirectional</w:t>
            </w:r>
          </w:p>
        </w:tc>
        <w:tc>
          <w:tcPr>
            <w:tcW w:type="dxa" w:w="2074"/>
          </w:tcPr>
          <w:p>
            <w:r>
              <w:rPr>
                <w:sz w:val="14"/>
              </w:rPr>
              <w:t>sandoval_lost_2022; asare_user-centered_2024; zhong_developer-llm_2025; chen_need_2024 [15, 16, 6, 7]</w:t>
            </w:r>
          </w:p>
        </w:tc>
        <w:tc>
          <w:tcPr>
            <w:tcW w:type="dxa" w:w="2074"/>
          </w:tcPr>
          <w:p>
            <w:r>
              <w:rPr>
                <w:sz w:val="14"/>
              </w:rPr>
              <w:t>Strong</w:t>
            </w:r>
          </w:p>
        </w:tc>
      </w:tr>
    </w:tbl>
    <w:p>
      <w:pPr>
        <w:pStyle w:val="Heading1"/>
      </w:pPr>
      <w:r>
        <w:t>2. Three cross-dimensional propositions</w:t>
      </w:r>
    </w:p>
    <w:p>
      <w:r>
        <w:t>Proposition 1 — productivity-CQTD equilibrium. If AI assistants increase generation efficiency in settings where visible tests are weaker than the relevant quality obligations, then productivity gains will be sustainable only when verification capacity scales with candidate production, because CQTD evidence shows that correctness, security and maintainability remain conditional on oracle strength, repository realism and independent review [3, 10, 17, 4]. This proposition is falsifiable: it would fail if faster generation reliably produced artefacts that satisfied independent functional, security and maintainability checks without additional validation.</w:t>
      </w:r>
    </w:p>
    <w:p>
      <w:r>
        <w:t>Proposition 2 — interaction-mediated quality. If developers use AI coding tools through iterative prompting, proactive assistance or multi-turn agentic workflows, then CQTD outcomes will depend on the quality of the interaction trace, because follow-up can repair local failures but can also stabilise earlier assumptions, propagate vulnerabilities or accumulate context and dependency errors [5, 6, 7, 8, 18]. This proposition is falsifiable: it would fail if prompt sequence, developer validation behaviour and multi-turn trace properties showed no relationship with accepted-code quality, repair success or propagated defects.</w:t>
      </w:r>
    </w:p>
    <w:p>
      <w:r>
        <w:t>Proposition 3 — trust and cognitive redistribution. If developers treat plausible AI-generated outputs as sufficiently correct without domain-specific validation, then hidden CQTD risks will persist into the maintained artefact, because review work is redistributed from construction to supervision and is variably effective across security, API, accessibility, dependency and repair contexts [15, 16, 9, 11, 12]. The cognitive-load component remains an inferred cross-dimensional link rather than a direct measurement in Phase 3.4. The proposition is falsifiable: it would fail if developers could reliably infer security, maintainability and semantic adequacy from surface plausibility or visible success without stronger oracles or expertise.</w:t>
      </w:r>
    </w:p>
    <w:p>
      <w:pPr>
        <w:pStyle w:val="Heading1"/>
      </w:pPr>
      <w:r>
        <w:t>3. Narrative synthesis</w:t>
      </w:r>
    </w:p>
    <w:p>
      <w:r>
        <w:t>CQTD links the other dimensions by showing that AI-assisted programming is not merely a matter of producing code faster, but of sustaining quality after code has been produced. Its strongest cross-dimensional connection is with Productivity. Phase 3.4 establishes that functional correctness is bounded by task, language, benchmark and oracle, while testing, execution feedback and property-based checks improve generated artefacts only within the limits of their verification strength [1, 2, 3]. This means that productivity gains are theoretically incomplete unless the system can absorb the verification overhead attached to candidate code, tests and patches. Security and maintainability make the same trade-off more visible: generated code may appear usable while still containing vulnerabilities or longer-term debt, so speed becomes sustainable only when matched by security assessment, dependency checking, API review and maintainability inspection [17, 19, 4, 13].</w:t>
      </w:r>
    </w:p>
    <w:p>
      <w:r>
        <w:t>The second strongest connection is with Human-AI Interaction, including its links to Perception and Trust. CQTD evidence shows that the maintained artefact is shaped by how developers prompt, inspect, edit, accept, revert and trust AI suggestions. Developer validation studies, conversation traces and proactive-assistance evidence make interaction quality a quality determinant rather than a usability add-on [5, 6, 7]. Trust calibration follows directly: visible tests, syntactic plausibility and model reputation are not reliable proxies for security or maintainability, and human oversight is necessary but uneven when expertise, attention or domain knowledge are limited [15, 16]. In multi-turn and agentic settings, this connection intensifies because quality depends on the whole trace. Iteration can rescue failed outputs, but it can also preserve flawed assumptions, propagate insecure patterns or accumulate dependency and context errors [14, 8, 18].</w:t>
      </w:r>
    </w:p>
    <w:p>
      <w:r>
        <w:t>CQTD also connects to Cognitive Load / Human Factors by specifying what supervision requires: developers must assess hidden assumptions, dependency soundness, API currency, regression effects, patch semantics and workflow-level side-effects. Phase 3.4 supports this as cognitive redistribution, although it does not directly quantify mental workload [9, 10, 11, 12]. The links to Organisational and Economic Impact are more limited. CQTD evidence implies that teams need review protocols, stronger oracles and quality gates, and that unverified generation may create rework, maintenance and security costs; however, Phase 3.4 does not directly measure organisational adoption routines or economic cost. This is the main cross-dimensional gap: the CQTD corpus identifies verification overhead as a structural requirement, but does not yet quantify how that overhead is distributed across teams, budgets and long-term maintenance outcomes.</w:t>
      </w:r>
    </w:p>
    <w:p>
      <w:pPr>
        <w:pStyle w:val="Heading1"/>
      </w:pPr>
      <w:r>
        <w:t>References</w:t>
      </w:r>
    </w:p>
    <w:p>
      <w:r>
        <w:t>[1] Is Your Code Generated by ChatGPT Really Correct? Rigorous Evaluation of Large Language Models for Code Generation. Liu, Jiawei; Xia, Chunqiu Steven; Wang, Yuyao; Zhang, Lingming, 2023. Bibkey: liu_is_2023. Corpus: CORE.</w:t>
      </w:r>
    </w:p>
    <w:p>
      <w:r>
        <w:t>[2] EvoCodeBench: An Evolving Code Generation Benchmark Aligned with Real-World Code Repositories. Li, Jia; Li, Ge; Zhang, Xuanming; Dong, Yihong; Jin, Zhi, 2024. Bibkey: li_evocodebench_2024. Corpus: CORE.</w:t>
      </w:r>
    </w:p>
    <w:p>
      <w:r>
        <w:t>[3] Rethinking Verification for LLM Code Generation: From Generation to Testing. Ma, Zihan; Zhang, Taolin; Maosongcao; Liu, Junnan; Zhang, Wenwei; Luo, Minnan; Zhang, Songyang; Chen, Kai, 2025. Bibkey: ma_rethinking_2025. Corpus: CORE.</w:t>
      </w:r>
    </w:p>
    <w:p>
      <w:r>
        <w:t>[4] Debt Behind the AI Boom: A Large-Scale Empirical Study of AI-Generated Code in the Wild. Liu, Yue; Widyasari, Ratnadira; Zhao, Yanjie; Irsan, Ivana Clairine; Lo, David, 2026. Bibkey: liu_debt_2026. Corpus: CORE.</w:t>
      </w:r>
    </w:p>
    <w:p>
      <w:r>
        <w:t>[5] Developer Behaviors in Validating and Repairing LLM-Generated Code Using IDE and Eye Tracking. Tang, Ningzhi; Chen, Meng; Ning, Zheng; Bansal, Aakash; Huang, Yu; McMillan, Collin; Li, Toby Jia-Jun, 2024. Bibkey: tang_developer_2024. Corpus: CORE.</w:t>
      </w:r>
    </w:p>
    <w:p>
      <w:r>
        <w:t>[6] Developer-LLM Conversations: An Empirical Study of Interactions and Generated Code Quality. Zhong, Suzhen; Zou, Ying; Adams, Bram, 2025. Bibkey: zhong_developer-llm_2025. Corpus: CORE.</w:t>
      </w:r>
    </w:p>
    <w:p>
      <w:r>
        <w:t>[7] Need Help? Designing Proactive AI Assistants for Programming. Chen, Valerie; Zhu, A A; Zhao, Sebastian; Mozannar, Hussein; Sontag, David; Talwalkar, Ameet, 2024. Bibkey: chen_need_2024. Corpus: SUPPORT.</w:t>
      </w:r>
    </w:p>
    <w:p>
      <w:r>
        <w:t>[8] Benchmarking Correctness and Security in Multi-Turn Code Generation. Rawal, Ruchit; Chiang, Jeffrey Yang Fan; Shen, Chihao; Tian, Jeffery Siyuan; Mahajan, Aastha; Goldstein, Tom; Chen, Yizheng, 2025. Bibkey: rawal_benchmarking_2025. Corpus: SUPPORT.</w:t>
      </w:r>
    </w:p>
    <w:p>
      <w:r>
        <w:t>[9] Library Hallucinations in LLMs: Risk Analysis Grounded in Developer Queries. Twist, Lukas; Zhang, Jie M.; Harman, Mark; Yannakoudakis, Helen, 2025. Bibkey: twist_library_2025. Corpus: CORE.</w:t>
      </w:r>
    </w:p>
    <w:p>
      <w:r>
        <w:t>[10] ReCatcher: Towards LLMs Regression Testing for Code Generation. Abbassi, Altaf Allah; Da Silva, Leuson; Nikanjam, Amin; Khomh, Foutse, 2025. Bibkey: abbassi_recatcher_2025. Corpus: CORE.</w:t>
      </w:r>
    </w:p>
    <w:p>
      <w:r>
        <w:t>[11] How Safe Are AI-Generated Patches? A Large-scale Study on Security Risks in LLM and Agentic Automated Program Repair on SWE-bench. Sajadi, Amirali; Damevski, Kostadin; Chatterjee, Preetha, 2025. Bibkey: sajadi_how_2025. Corpus: CORE.</w:t>
      </w:r>
    </w:p>
    <w:p>
      <w:r>
        <w:t>[12] AI-Generated Code Is Not Reproducible (Yet): An Empirical Study of Dependency Gaps in LLM-Based Coding Agents. Vangala, Bhanu Prakash; Adibifar, Ali; Gehani, Ashish; Malik, Tanu, 2026. Bibkey: vangala_ai-generated_2026. Corpus: CORE.</w:t>
      </w:r>
    </w:p>
    <w:p>
      <w:r>
        <w:t>[13] Echoes of AI: Investigating the Downstream Effects of AI Assistants on Software Maintainability. Borg, Markus; Hewett, Dave; Hagatulah, Nadim; Couderc, Noric; Söderberg, Emma; Graham, Donald; Kini, Uttam; Farley, Dave, 2026. Bibkey: borg_echoes_2026. Corpus: CORE.</w:t>
      </w:r>
    </w:p>
    <w:p>
      <w:r>
        <w:t>[14] Evaluating Software Development Agents: Patch Patterns, Code Quality, and Issue Complexity in Real-World GitHub Scenarios. Chen, Zhi; Jiang, Lingxiao, 2024. Bibkey: chen_evaluating_2024. Corpus: CORE.</w:t>
      </w:r>
    </w:p>
    <w:p>
      <w:r>
        <w:t>[15] Lost at C: A User Study on the Security Implications of Large Language Model Code Assistants. Sandoval, Gustavo; Pearce, Hammond; Nys, Teo; Karri, Ramesh; Garg, Siddharth; Dolan-Gavitt, Brendan, 2022. Bibkey: sandoval_lost_2022. Corpus: CORE.</w:t>
      </w:r>
    </w:p>
    <w:p>
      <w:r>
        <w:t>[16] A User-centered Security Evaluation of Copilot. Asare, Owura; Nagappan, Meiyappan; Asokan, N., 2024. Bibkey: asare_user-centered_2024. Corpus: CORE.</w:t>
      </w:r>
    </w:p>
    <w:p>
      <w:r>
        <w:t>[17] Asleep at the Keyboard? Assessing the Security of GitHub Copilot's Code Contributions. Pearce, Hammond; Ahmad, Baleegh; Tan, Benjamin; Dolan-Gavitt, Brendan; Karri, Ramesh, 2025. Bibkey: pearce_asleep_2025. Corpus: CORE.</w:t>
      </w:r>
    </w:p>
    <w:p>
      <w:r>
        <w:t>[18] When Developer Aid Becomes Security Debt: A Systematic Analysis of Insecure Behaviors in LLM Coding Agents. Kozak, Matous; Moghaddam, Roshanak Zilouchian; Sivaraman, Siva, 2025. Bibkey: kozak_when_2025. Corpus: CORE.</w:t>
      </w:r>
    </w:p>
    <w:p>
      <w:r>
        <w:t>[19] How Secure is AI-Generated Code: a Large-scale Comparison of Large Language Models. Tihanyi, Norbert; Bisztray, Tamas; Ferrag, Mohamed Amine; Jain, Ridhi; Cordeiro, Lucas C., 2025. Bibkey: tihanyi_how_2025. Corpus: SUPPORT.</w:t>
      </w:r>
    </w:p>
    <w:p>
      <w:pPr>
        <w:pStyle w:val="Heading1"/>
      </w:pPr>
      <w:r>
        <w:t>Self-validation pass</w:t>
      </w:r>
    </w:p>
    <w:p>
      <w:r>
        <w:t>The artefact was generated from Phase 3.4, Phase 4.1 and Phase 4.2 only. All cited bibkeys were verified against the supplied BIB files; missing bibkeys: none. The reference list contains only cited sources, ordered by first appearance, and contains no empty author or year fields. Cross-dimensional links to Productivity, Human-AI Interaction and Perception and Trust are marked strong where Phase 3.4 provides direct CQTD evidence; Cognitive Load / Human Factors and Organisational Impact are marked moderate where the CQTD evidence supports a mechanism but not direct companion-dimension measurement; Economic Impact is marked speculative because Phase 3.4 supports a cost pathway but not direct cost estimates. British English spelling was used.</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