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0.3 — NB3 HAI CORE Evidence Anchor Extraction</w:t>
      </w:r>
    </w:p>
    <w:p>
      <w:pPr>
        <w:jc w:val="both"/>
      </w:pPr>
      <w:r>
        <w:t>Scope: descriptive, self-contained Phase 0 evidence-anchor matrix for the 60-paper NB3_HAI_CORE corpus. Bibkeys were checked against NB3_HAI_CORE.bib; bibliographic metadata were taken from NB3_HAI_CORE.csv. British English is used throughout. Where exact PDF pagination could not be safely confirmed from extracted text, the caveat requests page-level verification rather than inventing precision.</w:t>
      </w:r>
    </w:p>
    <w:tbl>
      <w:tblPr>
        <w:tblStyle w:val="TableGrid"/>
        <w:tblW w:type="auto" w:w="0"/>
        <w:jc w:val="center"/>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top"/>
          </w:tcPr>
          <w:p>
            <w:r>
              <w:rPr>
                <w:sz w:val="13"/>
              </w:rPr>
              <w:t>Anchor ID</w:t>
            </w:r>
          </w:p>
        </w:tc>
        <w:tc>
          <w:tcPr>
            <w:tcW w:type="dxa" w:w="1648"/>
            <w:vAlign w:val="top"/>
          </w:tcPr>
          <w:p>
            <w:r>
              <w:rPr>
                <w:sz w:val="13"/>
              </w:rPr>
              <w:t>Bibkey</w:t>
            </w:r>
          </w:p>
        </w:tc>
        <w:tc>
          <w:tcPr>
            <w:tcW w:type="dxa" w:w="1648"/>
            <w:vAlign w:val="top"/>
          </w:tcPr>
          <w:p>
            <w:r>
              <w:rPr>
                <w:sz w:val="13"/>
              </w:rPr>
              <w:t>HAI sub-topic</w:t>
            </w:r>
          </w:p>
        </w:tc>
        <w:tc>
          <w:tcPr>
            <w:tcW w:type="dxa" w:w="1648"/>
            <w:vAlign w:val="top"/>
          </w:tcPr>
          <w:p>
            <w:r>
              <w:rPr>
                <w:sz w:val="13"/>
              </w:rPr>
              <w:t>Anchor finding</w:t>
            </w:r>
          </w:p>
        </w:tc>
        <w:tc>
          <w:tcPr>
            <w:tcW w:type="dxa" w:w="1648"/>
            <w:vAlign w:val="top"/>
          </w:tcPr>
          <w:p>
            <w:r>
              <w:rPr>
                <w:sz w:val="13"/>
              </w:rPr>
              <w:t>Metric type</w:t>
            </w:r>
          </w:p>
        </w:tc>
        <w:tc>
          <w:tcPr>
            <w:tcW w:type="dxa" w:w="1648"/>
            <w:vAlign w:val="top"/>
          </w:tcPr>
          <w:p>
            <w:r>
              <w:rPr>
                <w:sz w:val="13"/>
              </w:rPr>
              <w:t>Directionality</w:t>
            </w:r>
          </w:p>
        </w:tc>
        <w:tc>
          <w:tcPr>
            <w:tcW w:type="dxa" w:w="1648"/>
            <w:vAlign w:val="top"/>
          </w:tcPr>
          <w:p>
            <w:r>
              <w:rPr>
                <w:sz w:val="13"/>
              </w:rPr>
              <w:t>Quality tier</w:t>
            </w:r>
          </w:p>
        </w:tc>
        <w:tc>
          <w:tcPr>
            <w:tcW w:type="dxa" w:w="1648"/>
            <w:vAlign w:val="top"/>
          </w:tcPr>
          <w:p>
            <w:r>
              <w:rPr>
                <w:sz w:val="13"/>
              </w:rPr>
              <w:t>PDF location</w:t>
            </w:r>
          </w:p>
        </w:tc>
        <w:tc>
          <w:tcPr>
            <w:tcW w:type="dxa" w:w="1648"/>
            <w:vAlign w:val="top"/>
          </w:tcPr>
          <w:p>
            <w:r>
              <w:rPr>
                <w:sz w:val="13"/>
              </w:rPr>
              <w:t>Caveats</w:t>
            </w:r>
          </w:p>
        </w:tc>
      </w:tr>
      <w:tr>
        <w:tc>
          <w:tcPr>
            <w:tcW w:type="dxa" w:w="1648"/>
            <w:vAlign w:val="top"/>
          </w:tcPr>
          <w:p>
            <w:r>
              <w:rPr>
                <w:sz w:val="13"/>
              </w:rPr>
              <w:t>A001</w:t>
            </w:r>
          </w:p>
        </w:tc>
        <w:tc>
          <w:tcPr>
            <w:tcW w:type="dxa" w:w="1648"/>
            <w:vAlign w:val="top"/>
          </w:tcPr>
          <w:p>
            <w:r>
              <w:rPr>
                <w:sz w:val="13"/>
              </w:rPr>
              <w:t>aalsteinsson_rethinking_2025</w:t>
            </w:r>
          </w:p>
        </w:tc>
        <w:tc>
          <w:tcPr>
            <w:tcW w:type="dxa" w:w="1648"/>
            <w:vAlign w:val="top"/>
          </w:tcPr>
          <w:p>
            <w:r>
              <w:rPr>
                <w:sz w:val="13"/>
              </w:rPr>
              <w:t>Interaction patterns and workflow integration</w:t>
            </w:r>
          </w:p>
        </w:tc>
        <w:tc>
          <w:tcPr>
            <w:tcW w:type="dxa" w:w="1648"/>
            <w:vAlign w:val="top"/>
          </w:tcPr>
          <w:p>
            <w:r>
              <w:rPr>
                <w:sz w:val="13"/>
              </w:rPr>
              <w:t>Unverified — PDF check required; no specific empirical result could be safely extracted from the available PDF text.</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Unverified — PDF check required</w:t>
            </w:r>
          </w:p>
        </w:tc>
      </w:tr>
      <w:tr>
        <w:tc>
          <w:tcPr>
            <w:tcW w:type="dxa" w:w="1648"/>
            <w:vAlign w:val="top"/>
          </w:tcPr>
          <w:p>
            <w:r>
              <w:rPr>
                <w:sz w:val="13"/>
              </w:rPr>
              <w:t>A002</w:t>
            </w:r>
          </w:p>
        </w:tc>
        <w:tc>
          <w:tcPr>
            <w:tcW w:type="dxa" w:w="1648"/>
            <w:vAlign w:val="top"/>
          </w:tcPr>
          <w:p>
            <w:r>
              <w:rPr>
                <w:sz w:val="13"/>
              </w:rPr>
              <w:t>agarwal_copilot_2024</w:t>
            </w:r>
          </w:p>
        </w:tc>
        <w:tc>
          <w:tcPr>
            <w:tcW w:type="dxa" w:w="1648"/>
            <w:vAlign w:val="top"/>
          </w:tcPr>
          <w:p>
            <w:r>
              <w:rPr>
                <w:sz w:val="13"/>
              </w:rPr>
              <w:t>Accessibility and inclusive interaction</w:t>
            </w:r>
          </w:p>
        </w:tc>
        <w:tc>
          <w:tcPr>
            <w:tcW w:type="dxa" w:w="1648"/>
            <w:vAlign w:val="top"/>
          </w:tcPr>
          <w:p>
            <w:r>
              <w:rPr>
                <w:sz w:val="13"/>
              </w:rPr>
              <w:t>LLMs such as OpenAI GPT3.5/4 and Code Llama offer the potential to significantly augment developer productivity by serving as intelligent, chatdriven programming assistants.</w:t>
            </w:r>
          </w:p>
        </w:tc>
        <w:tc>
          <w:tcPr>
            <w:tcW w:type="dxa" w:w="1648"/>
            <w:vAlign w:val="top"/>
          </w:tcPr>
          <w:p>
            <w:r>
              <w:rPr>
                <w:sz w:val="13"/>
              </w:rPr>
              <w:t>rate / count</w:t>
            </w:r>
          </w:p>
        </w:tc>
        <w:tc>
          <w:tcPr>
            <w:tcW w:type="dxa" w:w="1648"/>
            <w:vAlign w:val="top"/>
          </w:tcPr>
          <w:p>
            <w:r>
              <w:rPr>
                <w:sz w:val="13"/>
              </w:rPr>
              <w:t>positive for AI-assisted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A003</w:t>
            </w:r>
          </w:p>
        </w:tc>
        <w:tc>
          <w:tcPr>
            <w:tcW w:type="dxa" w:w="1648"/>
            <w:vAlign w:val="top"/>
          </w:tcPr>
          <w:p>
            <w:r>
              <w:rPr>
                <w:sz w:val="13"/>
              </w:rPr>
              <w:t>barke_grounded_2023</w:t>
            </w:r>
          </w:p>
        </w:tc>
        <w:tc>
          <w:tcPr>
            <w:tcW w:type="dxa" w:w="1648"/>
            <w:vAlign w:val="top"/>
          </w:tcPr>
          <w:p>
            <w:r>
              <w:rPr>
                <w:sz w:val="13"/>
              </w:rPr>
              <w:t>Interaction patterns and workflow integration</w:t>
            </w:r>
          </w:p>
        </w:tc>
        <w:tc>
          <w:tcPr>
            <w:tcW w:type="dxa" w:w="1648"/>
            <w:vAlign w:val="top"/>
          </w:tcPr>
          <w:p>
            <w:r>
              <w:rPr>
                <w:sz w:val="13"/>
              </w:rPr>
              <w:t>We present the ﬁrst grounded theory analysis of how programmers interact with Copilot, based on observing 20 participants—with a range of prior experience using the assistant—as they solve diverse programming tasks across four languages.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A004</w:t>
            </w:r>
          </w:p>
        </w:tc>
        <w:tc>
          <w:tcPr>
            <w:tcW w:type="dxa" w:w="1648"/>
            <w:vAlign w:val="top"/>
          </w:tcPr>
          <w:p>
            <w:r>
              <w:rPr>
                <w:sz w:val="13"/>
              </w:rPr>
              <w:t>barke_grounded_2023</w:t>
            </w:r>
          </w:p>
        </w:tc>
        <w:tc>
          <w:tcPr>
            <w:tcW w:type="dxa" w:w="1648"/>
            <w:vAlign w:val="top"/>
          </w:tcPr>
          <w:p>
            <w:r>
              <w:rPr>
                <w:sz w:val="13"/>
              </w:rPr>
              <w:t>Trust, verification and reliance</w:t>
            </w:r>
          </w:p>
        </w:tc>
        <w:tc>
          <w:tcPr>
            <w:tcW w:type="dxa" w:w="1648"/>
            <w:vAlign w:val="top"/>
          </w:tcPr>
          <w:p>
            <w:r>
              <w:rPr>
                <w:sz w:val="13"/>
              </w:rPr>
              <w:t>CCS Concepts: • Human-centered computing → HCI theory, concepts and models; • Software and its engineering → Software creation and management.</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A005</w:t>
            </w:r>
          </w:p>
        </w:tc>
        <w:tc>
          <w:tcPr>
            <w:tcW w:type="dxa" w:w="1648"/>
            <w:vAlign w:val="top"/>
          </w:tcPr>
          <w:p>
            <w:r>
              <w:rPr>
                <w:sz w:val="13"/>
              </w:rPr>
              <w:t>brown_identifying_2024</w:t>
            </w:r>
          </w:p>
        </w:tc>
        <w:tc>
          <w:tcPr>
            <w:tcW w:type="dxa" w:w="1648"/>
            <w:vAlign w:val="top"/>
          </w:tcPr>
          <w:p>
            <w:r>
              <w:rPr>
                <w:sz w:val="13"/>
              </w:rPr>
              <w:t>Robustness to prompt or language variation</w:t>
            </w:r>
          </w:p>
        </w:tc>
        <w:tc>
          <w:tcPr>
            <w:tcW w:type="dxa" w:w="1648"/>
            <w:vAlign w:val="top"/>
          </w:tcPr>
          <w:p>
            <w:r>
              <w:rPr>
                <w:sz w:val="13"/>
              </w:rPr>
              <w:t>We found that characteristics about the AI suggestion itself (e.g., the quality of the suggestion), the developer interacting with the suggestion (e.g., their expertise in a language), and the context of the development work (e.g., was the suggestion in a test file) all influenced acceptance rates of AI-powered code suggestions.</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A006</w:t>
            </w:r>
          </w:p>
        </w:tc>
        <w:tc>
          <w:tcPr>
            <w:tcW w:type="dxa" w:w="1648"/>
            <w:vAlign w:val="top"/>
          </w:tcPr>
          <w:p>
            <w:r>
              <w:rPr>
                <w:sz w:val="13"/>
              </w:rPr>
              <w:t>chatterjee_impact_2024</w:t>
            </w:r>
          </w:p>
        </w:tc>
        <w:tc>
          <w:tcPr>
            <w:tcW w:type="dxa" w:w="1648"/>
            <w:vAlign w:val="top"/>
          </w:tcPr>
          <w:p>
            <w:r>
              <w:rPr>
                <w:sz w:val="13"/>
              </w:rPr>
              <w:t>Accessibility and inclusive interaction</w:t>
            </w:r>
          </w:p>
        </w:tc>
        <w:tc>
          <w:tcPr>
            <w:tcW w:type="dxa" w:w="1648"/>
            <w:vAlign w:val="top"/>
          </w:tcPr>
          <w:p>
            <w:r>
              <w:rPr>
                <w:sz w:val="13"/>
              </w:rPr>
              <w:t>We focus on ANZ Bank, which employs over 5000 engineers covering all aspects of the software development life cycle.</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A007</w:t>
            </w:r>
          </w:p>
        </w:tc>
        <w:tc>
          <w:tcPr>
            <w:tcW w:type="dxa" w:w="1648"/>
            <w:vAlign w:val="top"/>
          </w:tcPr>
          <w:p>
            <w:r>
              <w:rPr>
                <w:sz w:val="13"/>
              </w:rPr>
              <w:t>chen_nlperturbator_2026</w:t>
            </w:r>
          </w:p>
        </w:tc>
        <w:tc>
          <w:tcPr>
            <w:tcW w:type="dxa" w:w="1648"/>
            <w:vAlign w:val="top"/>
          </w:tcPr>
          <w:p>
            <w:r>
              <w:rPr>
                <w:sz w:val="13"/>
              </w:rPr>
              <w:t>Learning, novices and education</w:t>
            </w:r>
          </w:p>
        </w:tc>
        <w:tc>
          <w:tcPr>
            <w:tcW w:type="dxa" w:w="1648"/>
            <w:vAlign w:val="top"/>
          </w:tcPr>
          <w:p>
            <w:r>
              <w:rPr>
                <w:sz w:val="13"/>
              </w:rPr>
              <w:t>We summarize 18 categories of perturbations of natural language and three combinations of co-occurred categories based on our literature review and online survey with practitioners.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A008</w:t>
            </w:r>
          </w:p>
        </w:tc>
        <w:tc>
          <w:tcPr>
            <w:tcW w:type="dxa" w:w="1648"/>
            <w:vAlign w:val="top"/>
          </w:tcPr>
          <w:p>
            <w:r>
              <w:rPr>
                <w:sz w:val="13"/>
              </w:rPr>
              <w:t>cihan_automated_2024</w:t>
            </w:r>
          </w:p>
        </w:tc>
        <w:tc>
          <w:tcPr>
            <w:tcW w:type="dxa" w:w="1648"/>
            <w:vAlign w:val="top"/>
          </w:tcPr>
          <w:p>
            <w:r>
              <w:rPr>
                <w:sz w:val="13"/>
              </w:rPr>
              <w:t>Learning, novices and education</w:t>
            </w:r>
          </w:p>
        </w:tc>
        <w:tc>
          <w:tcPr>
            <w:tcW w:type="dxa" w:w="1648"/>
            <w:vAlign w:val="top"/>
          </w:tcPr>
          <w:p>
            <w:r>
              <w:rPr>
                <w:sz w:val="13"/>
              </w:rPr>
              <w:t>238 practitioners across ten projects had access to the tool.</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A009</w:t>
            </w:r>
          </w:p>
        </w:tc>
        <w:tc>
          <w:tcPr>
            <w:tcW w:type="dxa" w:w="1648"/>
            <w:vAlign w:val="top"/>
          </w:tcPr>
          <w:p>
            <w:r>
              <w:rPr>
                <w:sz w:val="13"/>
              </w:rPr>
              <w:t>cui_productivity_2024</w:t>
            </w:r>
          </w:p>
        </w:tc>
        <w:tc>
          <w:tcPr>
            <w:tcW w:type="dxa" w:w="1648"/>
            <w:vAlign w:val="top"/>
          </w:tcPr>
          <w:p>
            <w:r>
              <w:rPr>
                <w:sz w:val="13"/>
              </w:rPr>
              <w:t>Robustness to prompt or language variation</w:t>
            </w:r>
          </w:p>
        </w:tc>
        <w:tc>
          <w:tcPr>
            <w:tcW w:type="dxa" w:w="1648"/>
            <w:vAlign w:val="top"/>
          </w:tcPr>
          <w:p>
            <w:r>
              <w:rPr>
                <w:sz w:val="13"/>
              </w:rPr>
              <w:t>We are providing a preview of a project that analyzes two field experiments with 1,974 software developers at Microsoft and Accenture to evaluate the productivity impact of Generative AI.</w:t>
            </w:r>
          </w:p>
        </w:tc>
        <w:tc>
          <w:tcPr>
            <w:tcW w:type="dxa" w:w="1648"/>
            <w:vAlign w:val="top"/>
          </w:tcPr>
          <w:p>
            <w:r>
              <w:rPr>
                <w:sz w:val="13"/>
              </w:rPr>
              <w:t>rate / count</w:t>
            </w:r>
          </w:p>
        </w:tc>
        <w:tc>
          <w:tcPr>
            <w:tcW w:type="dxa" w:w="1648"/>
            <w:vAlign w:val="top"/>
          </w:tcPr>
          <w:p>
            <w:r>
              <w:rPr>
                <w:sz w:val="13"/>
              </w:rPr>
              <w:t>positive for AI-assisted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A010</w:t>
            </w:r>
          </w:p>
        </w:tc>
        <w:tc>
          <w:tcPr>
            <w:tcW w:type="dxa" w:w="1648"/>
            <w:vAlign w:val="top"/>
          </w:tcPr>
          <w:p>
            <w:r>
              <w:rPr>
                <w:sz w:val="13"/>
              </w:rPr>
              <w:t>cui_productivity_2024</w:t>
            </w:r>
          </w:p>
        </w:tc>
        <w:tc>
          <w:tcPr>
            <w:tcW w:type="dxa" w:w="1648"/>
            <w:vAlign w:val="top"/>
          </w:tcPr>
          <w:p>
            <w:r>
              <w:rPr>
                <w:sz w:val="13"/>
              </w:rPr>
              <w:t>Interaction patterns and workflow integration</w:t>
            </w:r>
          </w:p>
        </w:tc>
        <w:tc>
          <w:tcPr>
            <w:tcW w:type="dxa" w:w="1648"/>
            <w:vAlign w:val="top"/>
          </w:tcPr>
          <w:p>
            <w:r>
              <w:rPr>
                <w:sz w:val="13"/>
              </w:rPr>
              <w:t>Due to low compliance in the Microsoft experiment and internal organizational changes at Accenture, our estimates are not very precise and only reach statistical significance if we weight more heavily periods in which Copilot uptake differs across control and treatment.</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A011</w:t>
            </w:r>
          </w:p>
        </w:tc>
        <w:tc>
          <w:tcPr>
            <w:tcW w:type="dxa" w:w="1648"/>
            <w:vAlign w:val="top"/>
          </w:tcPr>
          <w:p>
            <w:r>
              <w:rPr>
                <w:sz w:val="13"/>
              </w:rPr>
              <w:t>das_why_2025</w:t>
            </w:r>
          </w:p>
        </w:tc>
        <w:tc>
          <w:tcPr>
            <w:tcW w:type="dxa" w:w="1648"/>
            <w:vAlign w:val="top"/>
          </w:tcPr>
          <w:p>
            <w:r>
              <w:rPr>
                <w:sz w:val="13"/>
              </w:rPr>
              <w:t>Learning, novices and education</w:t>
            </w:r>
          </w:p>
        </w:tc>
        <w:tc>
          <w:tcPr>
            <w:tcW w:type="dxa" w:w="1648"/>
            <w:vAlign w:val="top"/>
          </w:tcPr>
          <w:p>
            <w:r>
              <w:rPr>
                <w:sz w:val="13"/>
              </w:rPr>
              <w:t>In this study, we analyzed 1,152 DeveloperChatGPT conversations across 1,012 issues in GitHub to examine the diverse usage of ChatGPT and reliance on its generated code.</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A012</w:t>
            </w:r>
          </w:p>
        </w:tc>
        <w:tc>
          <w:tcPr>
            <w:tcW w:type="dxa" w:w="1648"/>
            <w:vAlign w:val="top"/>
          </w:tcPr>
          <w:p>
            <w:r>
              <w:rPr>
                <w:sz w:val="13"/>
              </w:rPr>
              <w:t>davila_industry_2024</w:t>
            </w:r>
          </w:p>
        </w:tc>
        <w:tc>
          <w:tcPr>
            <w:tcW w:type="dxa" w:w="1648"/>
            <w:vAlign w:val="top"/>
          </w:tcPr>
          <w:p>
            <w:r>
              <w:rPr>
                <w:sz w:val="13"/>
              </w:rPr>
              <w:t>User experience and perceived usefulness</w:t>
            </w:r>
          </w:p>
        </w:tc>
        <w:tc>
          <w:tcPr>
            <w:tcW w:type="dxa" w:w="1648"/>
            <w:vAlign w:val="top"/>
          </w:tcPr>
          <w:p>
            <w:r>
              <w:rPr>
                <w:sz w:val="13"/>
              </w:rPr>
              <w:t>Using an online survey, we collected and analyzed 72 responses from employees of the studied company.</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A013</w:t>
            </w:r>
          </w:p>
        </w:tc>
        <w:tc>
          <w:tcPr>
            <w:tcW w:type="dxa" w:w="1648"/>
            <w:vAlign w:val="top"/>
          </w:tcPr>
          <w:p>
            <w:r>
              <w:rPr>
                <w:sz w:val="13"/>
              </w:rPr>
              <w:t>denny_conversing_2023</w:t>
            </w:r>
          </w:p>
        </w:tc>
        <w:tc>
          <w:tcPr>
            <w:tcW w:type="dxa" w:w="1648"/>
            <w:vAlign w:val="top"/>
          </w:tcPr>
          <w:p>
            <w:r>
              <w:rPr>
                <w:sz w:val="13"/>
              </w:rPr>
              <w:t>Robustness to prompt or language variation</w:t>
            </w:r>
          </w:p>
        </w:tc>
        <w:tc>
          <w:tcPr>
            <w:tcW w:type="dxa" w:w="1648"/>
            <w:vAlign w:val="top"/>
          </w:tcPr>
          <w:p>
            <w:r>
              <w:rPr>
                <w:sz w:val="13"/>
              </w:rPr>
              <w:t>Since June 2022, Copilot has officially been available for free to all students as a plug-in to development environments like Visual Studio Code.</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A014</w:t>
            </w:r>
          </w:p>
        </w:tc>
        <w:tc>
          <w:tcPr>
            <w:tcW w:type="dxa" w:w="1648"/>
            <w:vAlign w:val="top"/>
          </w:tcPr>
          <w:p>
            <w:r>
              <w:rPr>
                <w:sz w:val="13"/>
              </w:rPr>
              <w:t>dibia_aligning_2023</w:t>
            </w:r>
          </w:p>
        </w:tc>
        <w:tc>
          <w:tcPr>
            <w:tcW w:type="dxa" w:w="1648"/>
            <w:vAlign w:val="top"/>
          </w:tcPr>
          <w:p>
            <w:r>
              <w:rPr>
                <w:sz w:val="13"/>
              </w:rPr>
              <w:t>Trust, verification and reliance</w:t>
            </w:r>
          </w:p>
        </w:tc>
        <w:tc>
          <w:tcPr>
            <w:tcW w:type="dxa" w:w="1648"/>
            <w:vAlign w:val="top"/>
          </w:tcPr>
          <w:p>
            <w:r>
              <w:rPr>
                <w:sz w:val="13"/>
              </w:rPr>
              <w:t>Through a user study with N = 49 experienced programmers, we show that while correctness captures high-value generations, programmers still rate code that fails unit tests as valuable if it reduces the overall effort needed to complete a coding task.</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A015</w:t>
            </w:r>
          </w:p>
        </w:tc>
        <w:tc>
          <w:tcPr>
            <w:tcW w:type="dxa" w:w="1648"/>
            <w:vAlign w:val="top"/>
          </w:tcPr>
          <w:p>
            <w:r>
              <w:rPr>
                <w:sz w:val="13"/>
              </w:rPr>
              <w:t>fakhoury_llm-based_2024</w:t>
            </w:r>
          </w:p>
        </w:tc>
        <w:tc>
          <w:tcPr>
            <w:tcW w:type="dxa" w:w="1648"/>
            <w:vAlign w:val="top"/>
          </w:tcPr>
          <w:p>
            <w:r>
              <w:rPr>
                <w:sz w:val="13"/>
              </w:rPr>
              <w:t>Learning, novices and education</w:t>
            </w:r>
          </w:p>
        </w:tc>
        <w:tc>
          <w:tcPr>
            <w:tcW w:type="dxa" w:w="1648"/>
            <w:vAlign w:val="top"/>
          </w:tcPr>
          <w:p>
            <w:r>
              <w:rPr>
                <w:sz w:val="13"/>
              </w:rPr>
              <w:t>Through a mixed methods user study with 15 programmers, we pre sent an empirical evaluation of the effectiveness of the workflow to i mprove code generation accuracy.</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A016</w:t>
            </w:r>
          </w:p>
        </w:tc>
        <w:tc>
          <w:tcPr>
            <w:tcW w:type="dxa" w:w="1648"/>
            <w:vAlign w:val="top"/>
          </w:tcPr>
          <w:p>
            <w:r>
              <w:rPr>
                <w:sz w:val="13"/>
              </w:rPr>
              <w:t>fakhoury_llm-based_2024</w:t>
            </w:r>
          </w:p>
        </w:tc>
        <w:tc>
          <w:tcPr>
            <w:tcW w:type="dxa" w:w="1648"/>
            <w:vAlign w:val="top"/>
          </w:tcPr>
          <w:p>
            <w:r>
              <w:rPr>
                <w:sz w:val="13"/>
              </w:rPr>
              <w:t>User experience and perceived usefulness</w:t>
            </w:r>
          </w:p>
        </w:tc>
        <w:tc>
          <w:tcPr>
            <w:tcW w:type="dxa" w:w="1648"/>
            <w:vAlign w:val="top"/>
          </w:tcPr>
          <w:p>
            <w:r>
              <w:rPr>
                <w:sz w:val="13"/>
              </w:rPr>
              <w:t>We observe an average absolute improvement of 38.43% in the pass@1 code generation accuracy for both datasets and across all LLMs within 5 user interactions, in addition t o the automatic generation of accompanying unit tests.</w:t>
            </w:r>
          </w:p>
        </w:tc>
        <w:tc>
          <w:tcPr>
            <w:tcW w:type="dxa" w:w="1648"/>
            <w:vAlign w:val="top"/>
          </w:tcPr>
          <w:p>
            <w:r>
              <w:rPr>
                <w:sz w:val="13"/>
              </w:rPr>
              <w:t>percentage</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A017</w:t>
            </w:r>
          </w:p>
        </w:tc>
        <w:tc>
          <w:tcPr>
            <w:tcW w:type="dxa" w:w="1648"/>
            <w:vAlign w:val="top"/>
          </w:tcPr>
          <w:p>
            <w:r>
              <w:rPr>
                <w:sz w:val="13"/>
              </w:rPr>
              <w:t>flores-saviaga_impact_2025</w:t>
            </w:r>
          </w:p>
        </w:tc>
        <w:tc>
          <w:tcPr>
            <w:tcW w:type="dxa" w:w="1648"/>
            <w:vAlign w:val="top"/>
          </w:tcPr>
          <w:p>
            <w:r>
              <w:rPr>
                <w:sz w:val="13"/>
              </w:rPr>
              <w:t>Interaction patterns and workflow integration</w:t>
            </w:r>
          </w:p>
        </w:tc>
        <w:tc>
          <w:tcPr>
            <w:tcW w:type="dxa" w:w="1648"/>
            <w:vAlign w:val="top"/>
          </w:tcPr>
          <w:p>
            <w:r>
              <w:rPr>
                <w:sz w:val="13"/>
              </w:rPr>
              <w:t>Our fndings emphasize the need to apply activity-centered design principles to generative AI assistants, ensuring they better align with user behaviors and address specifc accessibility needs.</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A018</w:t>
            </w:r>
          </w:p>
        </w:tc>
        <w:tc>
          <w:tcPr>
            <w:tcW w:type="dxa" w:w="1648"/>
            <w:vAlign w:val="top"/>
          </w:tcPr>
          <w:p>
            <w:r>
              <w:rPr>
                <w:sz w:val="13"/>
              </w:rPr>
              <w:t>ge_survey_2025</w:t>
            </w:r>
          </w:p>
        </w:tc>
        <w:tc>
          <w:tcPr>
            <w:tcW w:type="dxa" w:w="1648"/>
            <w:vAlign w:val="top"/>
          </w:tcPr>
          <w:p>
            <w:r>
              <w:rPr>
                <w:sz w:val="13"/>
              </w:rPr>
              <w:t>Accessibility and inclusive interaction</w:t>
            </w:r>
          </w:p>
        </w:tc>
        <w:tc>
          <w:tcPr>
            <w:tcW w:type="dxa" w:w="1648"/>
            <w:vAlign w:val="top"/>
          </w:tcPr>
          <w:p>
            <w:r>
              <w:rPr>
                <w:sz w:val="13"/>
              </w:rPr>
              <w:t>Drawing from systematic analysis of over 1000 research papers, we survey the entire vibe coding ecosystem, examining critical infrastructure components including LLMs for coding, LLM-based coding agent, development environment of coding agent, and feedback mechanisms.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A019</w:t>
            </w:r>
          </w:p>
        </w:tc>
        <w:tc>
          <w:tcPr>
            <w:tcW w:type="dxa" w:w="1648"/>
            <w:vAlign w:val="top"/>
          </w:tcPr>
          <w:p>
            <w:r>
              <w:rPr>
                <w:sz w:val="13"/>
              </w:rPr>
              <w:t>grewal_analyzing_2024</w:t>
            </w:r>
          </w:p>
        </w:tc>
        <w:tc>
          <w:tcPr>
            <w:tcW w:type="dxa" w:w="1648"/>
            <w:vAlign w:val="top"/>
          </w:tcPr>
          <w:p>
            <w:r>
              <w:rPr>
                <w:sz w:val="13"/>
              </w:rPr>
              <w:t>Interaction patterns and workflow integration</w:t>
            </w:r>
          </w:p>
        </w:tc>
        <w:tc>
          <w:tcPr>
            <w:tcW w:type="dxa" w:w="1648"/>
            <w:vAlign w:val="top"/>
          </w:tcPr>
          <w:p>
            <w:r>
              <w:rPr>
                <w:sz w:val="13"/>
              </w:rPr>
              <w:t>To understand how ChatGPT’s generated code is leveraged by developers, we conducted an empirical study of 3,044 ChatGPT-generated code snippets integrated within GitHub projects.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A020</w:t>
            </w:r>
          </w:p>
        </w:tc>
        <w:tc>
          <w:tcPr>
            <w:tcW w:type="dxa" w:w="1648"/>
            <w:vAlign w:val="top"/>
          </w:tcPr>
          <w:p>
            <w:r>
              <w:rPr>
                <w:sz w:val="13"/>
              </w:rPr>
              <w:t>grewal_analyzing_2024</w:t>
            </w:r>
          </w:p>
        </w:tc>
        <w:tc>
          <w:tcPr>
            <w:tcW w:type="dxa" w:w="1648"/>
            <w:vAlign w:val="top"/>
          </w:tcPr>
          <w:p>
            <w:r>
              <w:rPr>
                <w:sz w:val="13"/>
              </w:rPr>
              <w:t>Trust, verification and reliance</w:t>
            </w:r>
          </w:p>
        </w:tc>
        <w:tc>
          <w:tcPr>
            <w:tcW w:type="dxa" w:w="1648"/>
            <w:vAlign w:val="top"/>
          </w:tcPr>
          <w:p>
            <w:r>
              <w:rPr>
                <w:sz w:val="13"/>
              </w:rPr>
              <w:t>We highlight the importance of making changes in ChatGPT code before integrating it into a project.</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A021</w:t>
            </w:r>
          </w:p>
        </w:tc>
        <w:tc>
          <w:tcPr>
            <w:tcW w:type="dxa" w:w="1648"/>
            <w:vAlign w:val="top"/>
          </w:tcPr>
          <w:p>
            <w:r>
              <w:rPr>
                <w:sz w:val="13"/>
              </w:rPr>
              <w:t>hao_empirical_2024</w:t>
            </w:r>
          </w:p>
        </w:tc>
        <w:tc>
          <w:tcPr>
            <w:tcW w:type="dxa" w:w="1648"/>
            <w:vAlign w:val="top"/>
          </w:tcPr>
          <w:p>
            <w:r>
              <w:rPr>
                <w:sz w:val="13"/>
              </w:rPr>
              <w:t>Prompting and conversational strategies</w:t>
            </w:r>
          </w:p>
        </w:tc>
        <w:tc>
          <w:tcPr>
            <w:tcW w:type="dxa" w:w="1648"/>
            <w:vAlign w:val="top"/>
          </w:tcPr>
          <w:p>
            <w:r>
              <w:rPr>
                <w:sz w:val="13"/>
              </w:rPr>
              <w:t>In this paper, we analyze a dataset of 210 and 370 developers&amp;rsquo; shared conversations with ChatGPT in GitHub pull requests (PRs) and issues.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A022</w:t>
            </w:r>
          </w:p>
        </w:tc>
        <w:tc>
          <w:tcPr>
            <w:tcW w:type="dxa" w:w="1648"/>
            <w:vAlign w:val="top"/>
          </w:tcPr>
          <w:p>
            <w:r>
              <w:rPr>
                <w:sz w:val="13"/>
              </w:rPr>
              <w:t>hao_empirical_2024</w:t>
            </w:r>
          </w:p>
        </w:tc>
        <w:tc>
          <w:tcPr>
            <w:tcW w:type="dxa" w:w="1648"/>
            <w:vAlign w:val="top"/>
          </w:tcPr>
          <w:p>
            <w:r>
              <w:rPr>
                <w:sz w:val="13"/>
              </w:rPr>
              <w:t>Learning, novices and education</w:t>
            </w:r>
          </w:p>
        </w:tc>
        <w:tc>
          <w:tcPr>
            <w:tcW w:type="dxa" w:w="1648"/>
            <w:vAlign w:val="top"/>
          </w:tcPr>
          <w:p>
            <w:r>
              <w:rPr>
                <w:sz w:val="13"/>
              </w:rPr>
              <w:t>Our work serves as the first step towards understanding the dynamics between developers and ChatGPT in collaborative software development and opens up new directions for future research on the topic.</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A023</w:t>
            </w:r>
          </w:p>
        </w:tc>
        <w:tc>
          <w:tcPr>
            <w:tcW w:type="dxa" w:w="1648"/>
            <w:vAlign w:val="top"/>
          </w:tcPr>
          <w:p>
            <w:r>
              <w:rPr>
                <w:sz w:val="13"/>
              </w:rPr>
              <w:t>hicks_new_2024</w:t>
            </w:r>
          </w:p>
        </w:tc>
        <w:tc>
          <w:tcPr>
            <w:tcW w:type="dxa" w:w="1648"/>
            <w:vAlign w:val="top"/>
          </w:tcPr>
          <w:p>
            <w:r>
              <w:rPr>
                <w:sz w:val="13"/>
              </w:rPr>
              <w:t>Collaborative development and social sharing</w:t>
            </w:r>
          </w:p>
        </w:tc>
        <w:tc>
          <w:tcPr>
            <w:tcW w:type="dxa" w:w="1648"/>
            <w:vAlign w:val="top"/>
          </w:tcPr>
          <w:p>
            <w:r>
              <w:rPr>
                <w:sz w:val="13"/>
              </w:rPr>
              <w:t>In this research study, we share original empirical research with 3000+ software engineers and developers across 12+ industries engaged in the transition to Generative AI-assisted software work.</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A024</w:t>
            </w:r>
          </w:p>
        </w:tc>
        <w:tc>
          <w:tcPr>
            <w:tcW w:type="dxa" w:w="1648"/>
            <w:vAlign w:val="top"/>
          </w:tcPr>
          <w:p>
            <w:r>
              <w:rPr>
                <w:sz w:val="13"/>
              </w:rPr>
              <w:t>hyun_experimental_2025</w:t>
            </w:r>
          </w:p>
        </w:tc>
        <w:tc>
          <w:tcPr>
            <w:tcW w:type="dxa" w:w="1648"/>
            <w:vAlign w:val="top"/>
          </w:tcPr>
          <w:p>
            <w:r>
              <w:rPr>
                <w:sz w:val="13"/>
              </w:rPr>
              <w:t>Collaborative development and social sharing</w:t>
            </w:r>
          </w:p>
        </w:tc>
        <w:tc>
          <w:tcPr>
            <w:tcW w:type="dxa" w:w="1648"/>
            <w:vAlign w:val="top"/>
          </w:tcPr>
          <w:p>
            <w:r>
              <w:rPr>
                <w:sz w:val="13"/>
              </w:rPr>
              <w:t>Additionally, we evaluate the correctness of submitted solutions and compare them to solutions of beginners who did not use a conversational chatbot.ResultsWe analyzed 756 prompts of 129 conversations, most of them focusing on code generation.</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A025</w:t>
            </w:r>
          </w:p>
        </w:tc>
        <w:tc>
          <w:tcPr>
            <w:tcW w:type="dxa" w:w="1648"/>
            <w:vAlign w:val="top"/>
          </w:tcPr>
          <w:p>
            <w:r>
              <w:rPr>
                <w:sz w:val="13"/>
              </w:rPr>
              <w:t>hyun_experimental_2025</w:t>
            </w:r>
          </w:p>
        </w:tc>
        <w:tc>
          <w:tcPr>
            <w:tcW w:type="dxa" w:w="1648"/>
            <w:vAlign w:val="top"/>
          </w:tcPr>
          <w:p>
            <w:r>
              <w:rPr>
                <w:sz w:val="13"/>
              </w:rPr>
              <w:t>Trust, verification and reliance</w:t>
            </w:r>
          </w:p>
        </w:tc>
        <w:tc>
          <w:tcPr>
            <w:tcW w:type="dxa" w:w="1648"/>
            <w:vAlign w:val="top"/>
          </w:tcPr>
          <w:p>
            <w:r>
              <w:rPr>
                <w:sz w:val="13"/>
              </w:rPr>
              <w:t>We conducted a user study with 36 participants from diverse backgrounds, asking them to solve the assigned tasks by interacting with the GPT assistant using specific prompting patterns.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A026</w:t>
            </w:r>
          </w:p>
        </w:tc>
        <w:tc>
          <w:tcPr>
            <w:tcW w:type="dxa" w:w="1648"/>
            <w:vAlign w:val="top"/>
          </w:tcPr>
          <w:p>
            <w:r>
              <w:rPr>
                <w:sz w:val="13"/>
              </w:rPr>
              <w:t>hyun_experimental_2025</w:t>
            </w:r>
          </w:p>
        </w:tc>
        <w:tc>
          <w:tcPr>
            <w:tcW w:type="dxa" w:w="1648"/>
            <w:vAlign w:val="top"/>
          </w:tcPr>
          <w:p>
            <w:r>
              <w:rPr>
                <w:sz w:val="13"/>
              </w:rPr>
              <w:t>Accessibility and inclusive interaction</w:t>
            </w:r>
          </w:p>
        </w:tc>
        <w:tc>
          <w:tcPr>
            <w:tcW w:type="dxa" w:w="1648"/>
            <w:vAlign w:val="top"/>
          </w:tcPr>
          <w:p>
            <w:r>
              <w:rPr>
                <w:sz w:val="13"/>
              </w:rPr>
              <w:t>Moreover, companies should employ prompt guidelines, in which code quality prompts might be enforced after a code generation prompt has been stated.</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A027</w:t>
            </w:r>
          </w:p>
        </w:tc>
        <w:tc>
          <w:tcPr>
            <w:tcW w:type="dxa" w:w="1648"/>
            <w:vAlign w:val="top"/>
          </w:tcPr>
          <w:p>
            <w:r>
              <w:rPr>
                <w:sz w:val="13"/>
              </w:rPr>
              <w:t>khojah_beyond_2024</w:t>
            </w:r>
          </w:p>
        </w:tc>
        <w:tc>
          <w:tcPr>
            <w:tcW w:type="dxa" w:w="1648"/>
            <w:vAlign w:val="top"/>
          </w:tcPr>
          <w:p>
            <w:r>
              <w:rPr>
                <w:sz w:val="13"/>
              </w:rPr>
              <w:t>User experience and perceived usefulness</w:t>
            </w:r>
          </w:p>
        </w:tc>
        <w:tc>
          <w:tcPr>
            <w:tcW w:type="dxa" w:w="1648"/>
            <w:vAlign w:val="top"/>
          </w:tcPr>
          <w:p>
            <w:r>
              <w:rPr>
                <w:sz w:val="13"/>
              </w:rPr>
              <w:t>We conduct an observational study of 24 professional software engineers who have been using ChatGPT over a period of one week in their jobs, and qualitatively analyse their dialogues with the chatbot as well as their overall experience (as captured by an exit survey).</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A028</w:t>
            </w:r>
          </w:p>
        </w:tc>
        <w:tc>
          <w:tcPr>
            <w:tcW w:type="dxa" w:w="1648"/>
            <w:vAlign w:val="top"/>
          </w:tcPr>
          <w:p>
            <w:r>
              <w:rPr>
                <w:sz w:val="13"/>
              </w:rPr>
              <w:t>khojah_beyond_2024</w:t>
            </w:r>
          </w:p>
        </w:tc>
        <w:tc>
          <w:tcPr>
            <w:tcW w:type="dxa" w:w="1648"/>
            <w:vAlign w:val="top"/>
          </w:tcPr>
          <w:p>
            <w:r>
              <w:rPr>
                <w:sz w:val="13"/>
              </w:rPr>
              <w:t>Collaborative development and social sharing</w:t>
            </w:r>
          </w:p>
        </w:tc>
        <w:tc>
          <w:tcPr>
            <w:tcW w:type="dxa" w:w="1648"/>
            <w:vAlign w:val="top"/>
          </w:tcPr>
          <w:p>
            <w:r>
              <w:rPr>
                <w:sz w:val="13"/>
              </w:rPr>
              <w:t>We envision that our framework can be used by future research to further the academic discussion on LLM usage by software engineering practitioners, and to serve as a reference point for the design of future empirical LLM research in this domain.</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A029</w:t>
            </w:r>
          </w:p>
        </w:tc>
        <w:tc>
          <w:tcPr>
            <w:tcW w:type="dxa" w:w="1648"/>
            <w:vAlign w:val="top"/>
          </w:tcPr>
          <w:p>
            <w:r>
              <w:rPr>
                <w:sz w:val="13"/>
              </w:rPr>
              <w:t>kim_codeassistbench_2025</w:t>
            </w:r>
          </w:p>
        </w:tc>
        <w:tc>
          <w:tcPr>
            <w:tcW w:type="dxa" w:w="1648"/>
            <w:vAlign w:val="top"/>
          </w:tcPr>
          <w:p>
            <w:r>
              <w:rPr>
                <w:sz w:val="13"/>
              </w:rPr>
              <w:t>Trust, verification and reliance</w:t>
            </w:r>
          </w:p>
        </w:tc>
        <w:tc>
          <w:tcPr>
            <w:tcW w:type="dxa" w:w="1648"/>
            <w:vAlign w:val="top"/>
          </w:tcPr>
          <w:p>
            <w:r>
              <w:rPr>
                <w:sz w:val="13"/>
              </w:rPr>
              <w:t>Using this framework, we constructed a test set of 3,286 real-world programming questions across 214 repositories, spanning seven programming languages and diverse problem domains.</w:t>
            </w:r>
          </w:p>
        </w:tc>
        <w:tc>
          <w:tcPr>
            <w:tcW w:type="dxa" w:w="1648"/>
            <w:vAlign w:val="top"/>
          </w:tcPr>
          <w:p>
            <w:r>
              <w:rPr>
                <w:sz w:val="13"/>
              </w:rPr>
              <w:t>rate / count</w:t>
            </w:r>
          </w:p>
        </w:tc>
        <w:tc>
          <w:tcPr>
            <w:tcW w:type="dxa" w:w="1648"/>
            <w:vAlign w:val="top"/>
          </w:tcPr>
          <w:p>
            <w:r>
              <w:rPr>
                <w:sz w:val="13"/>
              </w:rPr>
              <w:t>mixed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A030</w:t>
            </w:r>
          </w:p>
        </w:tc>
        <w:tc>
          <w:tcPr>
            <w:tcW w:type="dxa" w:w="1648"/>
            <w:vAlign w:val="top"/>
          </w:tcPr>
          <w:p>
            <w:r>
              <w:rPr>
                <w:sz w:val="13"/>
              </w:rPr>
              <w:t>klemmer_using_2024</w:t>
            </w:r>
          </w:p>
        </w:tc>
        <w:tc>
          <w:tcPr>
            <w:tcW w:type="dxa" w:w="1648"/>
            <w:vAlign w:val="top"/>
          </w:tcPr>
          <w:p>
            <w:r>
              <w:rPr>
                <w:sz w:val="13"/>
              </w:rPr>
              <w:t>Collaborative development and social sharing</w:t>
            </w:r>
          </w:p>
        </w:tc>
        <w:tc>
          <w:tcPr>
            <w:tcW w:type="dxa" w:w="1648"/>
            <w:vAlign w:val="top"/>
          </w:tcPr>
          <w:p>
            <w:r>
              <w:rPr>
                <w:sz w:val="13"/>
              </w:rPr>
              <w:t>We conducted 27 semi-structured interviews with software professionals, including software engineers, team leads, and security testers.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A031</w:t>
            </w:r>
          </w:p>
        </w:tc>
        <w:tc>
          <w:tcPr>
            <w:tcW w:type="dxa" w:w="1648"/>
            <w:vAlign w:val="top"/>
          </w:tcPr>
          <w:p>
            <w:r>
              <w:rPr>
                <w:sz w:val="13"/>
              </w:rPr>
              <w:t>kong_demystifying_2025</w:t>
            </w:r>
          </w:p>
        </w:tc>
        <w:tc>
          <w:tcPr>
            <w:tcW w:type="dxa" w:w="1648"/>
            <w:vAlign w:val="top"/>
          </w:tcPr>
          <w:p>
            <w:r>
              <w:rPr>
                <w:sz w:val="13"/>
              </w:rPr>
              <w:t>User experience and perceived usefulness</w:t>
            </w:r>
          </w:p>
        </w:tc>
        <w:tc>
          <w:tcPr>
            <w:tcW w:type="dxa" w:w="1648"/>
            <w:vAlign w:val="top"/>
          </w:tcPr>
          <w:p>
            <w:r>
              <w:rPr>
                <w:sz w:val="13"/>
              </w:rPr>
              <w:t>Based on this framework, we design two specific methods (i.e., low-probability events) to detect potential memorization: 1) basic ground-truth matching, and 2) reassessment after substantial code mutation.</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A032</w:t>
            </w:r>
          </w:p>
        </w:tc>
        <w:tc>
          <w:tcPr>
            <w:tcW w:type="dxa" w:w="1648"/>
            <w:vAlign w:val="top"/>
          </w:tcPr>
          <w:p>
            <w:r>
              <w:rPr>
                <w:sz w:val="13"/>
              </w:rPr>
              <w:t>kruse_can_2024</w:t>
            </w:r>
          </w:p>
        </w:tc>
        <w:tc>
          <w:tcPr>
            <w:tcW w:type="dxa" w:w="1648"/>
            <w:vAlign w:val="top"/>
          </w:tcPr>
          <w:p>
            <w:r>
              <w:rPr>
                <w:sz w:val="13"/>
              </w:rPr>
              <w:t>Trust, verification and reliance</w:t>
            </w:r>
          </w:p>
        </w:tc>
        <w:tc>
          <w:tcPr>
            <w:tcW w:type="dxa" w:w="1648"/>
            <w:vAlign w:val="top"/>
          </w:tcPr>
          <w:p>
            <w:r>
              <w:rPr>
                <w:sz w:val="13"/>
              </w:rPr>
              <w:t>We report on a controlled experiment with 20 professionals and 30 computer science students tasked with code documentation generation for two Python functions.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A033</w:t>
            </w:r>
          </w:p>
        </w:tc>
        <w:tc>
          <w:tcPr>
            <w:tcW w:type="dxa" w:w="1648"/>
            <w:vAlign w:val="top"/>
          </w:tcPr>
          <w:p>
            <w:r>
              <w:rPr>
                <w:sz w:val="13"/>
              </w:rPr>
              <w:t>larbi_when_2025</w:t>
            </w:r>
          </w:p>
        </w:tc>
        <w:tc>
          <w:tcPr>
            <w:tcW w:type="dxa" w:w="1648"/>
            <w:vAlign w:val="top"/>
          </w:tcPr>
          <w:p>
            <w:r>
              <w:rPr>
                <w:sz w:val="13"/>
              </w:rPr>
              <w:t>Accessibility and inclusive interaction</w:t>
            </w:r>
          </w:p>
        </w:tc>
        <w:tc>
          <w:tcPr>
            <w:tcW w:type="dxa" w:w="1648"/>
            <w:vAlign w:val="top"/>
          </w:tcPr>
          <w:p>
            <w:r>
              <w:rPr>
                <w:sz w:val="13"/>
              </w:rPr>
              <w:t>We further analyze semantic error patterns and identify correlations between description clarity, model behavior, and error types.</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A034</w:t>
            </w:r>
          </w:p>
        </w:tc>
        <w:tc>
          <w:tcPr>
            <w:tcW w:type="dxa" w:w="1648"/>
            <w:vAlign w:val="top"/>
          </w:tcPr>
          <w:p>
            <w:r>
              <w:rPr>
                <w:sz w:val="13"/>
              </w:rPr>
              <w:t>li_refining_2025</w:t>
            </w:r>
          </w:p>
        </w:tc>
        <w:tc>
          <w:tcPr>
            <w:tcW w:type="dxa" w:w="1648"/>
            <w:vAlign w:val="top"/>
          </w:tcPr>
          <w:p>
            <w:r>
              <w:rPr>
                <w:sz w:val="13"/>
              </w:rPr>
              <w:t>Robustness to prompt or language variation</w:t>
            </w:r>
          </w:p>
        </w:tc>
        <w:tc>
          <w:tcPr>
            <w:tcW w:type="dxa" w:w="1648"/>
            <w:vAlign w:val="top"/>
          </w:tcPr>
          <w:p>
            <w:r>
              <w:rPr>
                <w:sz w:val="13"/>
              </w:rPr>
              <w:t>By systematically constructing three categories of faulty premises and integrating multi-dimensional evaluation metrics, it conducts in-depth assessments of 15 representative LLMs.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A035</w:t>
            </w:r>
          </w:p>
        </w:tc>
        <w:tc>
          <w:tcPr>
            <w:tcW w:type="dxa" w:w="1648"/>
            <w:vAlign w:val="top"/>
          </w:tcPr>
          <w:p>
            <w:r>
              <w:rPr>
                <w:sz w:val="13"/>
              </w:rPr>
              <w:t>liu_e2edev_2026</w:t>
            </w:r>
          </w:p>
        </w:tc>
        <w:tc>
          <w:tcPr>
            <w:tcW w:type="dxa" w:w="1648"/>
            <w:vAlign w:val="top"/>
          </w:tcPr>
          <w:p>
            <w:r>
              <w:rPr>
                <w:sz w:val="13"/>
              </w:rPr>
              <w:t>Trust, verification and reliance</w:t>
            </w:r>
          </w:p>
        </w:tc>
        <w:tc>
          <w:tcPr>
            <w:tcW w:type="dxa" w:w="1648"/>
            <w:vAlign w:val="top"/>
          </w:tcPr>
          <w:p>
            <w:r>
              <w:rPr>
                <w:sz w:val="13"/>
              </w:rPr>
              <w:t>By evaluating various E2ESD frameworks and LLM backbones with E2EDev, our analysis reveals a persistent struggle to effectively solve these tasks, underscoring the critical need for more effective and cost-efficient E2ESD solutions.</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A036</w:t>
            </w:r>
          </w:p>
        </w:tc>
        <w:tc>
          <w:tcPr>
            <w:tcW w:type="dxa" w:w="1648"/>
            <w:vAlign w:val="top"/>
          </w:tcPr>
          <w:p>
            <w:r>
              <w:rPr>
                <w:sz w:val="13"/>
              </w:rPr>
              <w:t>lyu_will_2025</w:t>
            </w:r>
          </w:p>
        </w:tc>
        <w:tc>
          <w:tcPr>
            <w:tcW w:type="dxa" w:w="1648"/>
            <w:vAlign w:val="top"/>
          </w:tcPr>
          <w:p>
            <w:r>
              <w:rPr>
                <w:sz w:val="13"/>
              </w:rPr>
              <w:t>Robustness to prompt or language variation</w:t>
            </w:r>
          </w:p>
        </w:tc>
        <w:tc>
          <w:tcPr>
            <w:tcW w:type="dxa" w:w="1648"/>
            <w:vAlign w:val="top"/>
          </w:tcPr>
          <w:p>
            <w:r>
              <w:rPr>
                <w:sz w:val="13"/>
              </w:rPr>
              <w:t>In this work, we conducted a mixed-methods study with 39 undergraduate students to examine how GenAI influences collaboration, learning, and performance in pair programming.</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A037</w:t>
            </w:r>
          </w:p>
        </w:tc>
        <w:tc>
          <w:tcPr>
            <w:tcW w:type="dxa" w:w="1648"/>
            <w:vAlign w:val="top"/>
          </w:tcPr>
          <w:p>
            <w:r>
              <w:rPr>
                <w:sz w:val="13"/>
              </w:rPr>
              <w:t>misic_assessment_2024</w:t>
            </w:r>
          </w:p>
        </w:tc>
        <w:tc>
          <w:tcPr>
            <w:tcW w:type="dxa" w:w="1648"/>
            <w:vAlign w:val="top"/>
          </w:tcPr>
          <w:p>
            <w:r>
              <w:rPr>
                <w:sz w:val="13"/>
              </w:rPr>
              <w:t>Learning, novices and education</w:t>
            </w:r>
          </w:p>
        </w:tc>
        <w:tc>
          <w:tcPr>
            <w:tcW w:type="dxa" w:w="1648"/>
            <w:vAlign w:val="top"/>
          </w:tcPr>
          <w:p>
            <w:r>
              <w:rPr>
                <w:sz w:val="13"/>
              </w:rPr>
              <w:t>ChatGPT 3.5 and Github Copilot installed with Visual Studio Code 1.88 were used.</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A038</w:t>
            </w:r>
          </w:p>
        </w:tc>
        <w:tc>
          <w:tcPr>
            <w:tcW w:type="dxa" w:w="1648"/>
            <w:vAlign w:val="top"/>
          </w:tcPr>
          <w:p>
            <w:r>
              <w:rPr>
                <w:sz w:val="13"/>
              </w:rPr>
              <w:t>misic_assessment_2024</w:t>
            </w:r>
          </w:p>
        </w:tc>
        <w:tc>
          <w:tcPr>
            <w:tcW w:type="dxa" w:w="1648"/>
            <w:vAlign w:val="top"/>
          </w:tcPr>
          <w:p>
            <w:r>
              <w:rPr>
                <w:sz w:val="13"/>
              </w:rPr>
              <w:t>User experience and perceived usefulness</w:t>
            </w:r>
          </w:p>
        </w:tc>
        <w:tc>
          <w:tcPr>
            <w:tcW w:type="dxa" w:w="1648"/>
            <w:vAlign w:val="top"/>
          </w:tcPr>
          <w:p>
            <w:r>
              <w:rPr>
                <w:sz w:val="13"/>
              </w:rPr>
              <w:t>The results are much better with Github Copilot, where much less effort is needed to obtain correct and performant parallel solution.</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A039</w:t>
            </w:r>
          </w:p>
        </w:tc>
        <w:tc>
          <w:tcPr>
            <w:tcW w:type="dxa" w:w="1648"/>
            <w:vAlign w:val="top"/>
          </w:tcPr>
          <w:p>
            <w:r>
              <w:rPr>
                <w:sz w:val="13"/>
              </w:rPr>
              <w:t>mozannar_reading_2024</w:t>
            </w:r>
          </w:p>
        </w:tc>
        <w:tc>
          <w:tcPr>
            <w:tcW w:type="dxa" w:w="1648"/>
            <w:vAlign w:val="top"/>
          </w:tcPr>
          <w:p>
            <w:r>
              <w:rPr>
                <w:sz w:val="13"/>
              </w:rPr>
              <w:t>Collaborative development and social sharing</w:t>
            </w:r>
          </w:p>
        </w:tc>
        <w:tc>
          <w:tcPr>
            <w:tcW w:type="dxa" w:w="1648"/>
            <w:vAlign w:val="top"/>
          </w:tcPr>
          <w:p>
            <w:r>
              <w:rPr>
                <w:sz w:val="13"/>
              </w:rPr>
              <w:t>Our study of 21 programmers, who completed coding tasks and retrospectively labeled their sessions with CUPS, showed that CUPS can help us understand how programmers interact with code-recommendation systems, revealing inefciencies and time costs.</w:t>
            </w:r>
          </w:p>
        </w:tc>
        <w:tc>
          <w:tcPr>
            <w:tcW w:type="dxa" w:w="1648"/>
            <w:vAlign w:val="top"/>
          </w:tcPr>
          <w:p>
            <w:r>
              <w:rPr>
                <w:sz w:val="13"/>
              </w:rPr>
              <w:t>rate / count</w:t>
            </w:r>
          </w:p>
        </w:tc>
        <w:tc>
          <w:tcPr>
            <w:tcW w:type="dxa" w:w="1648"/>
            <w:vAlign w:val="top"/>
          </w:tcPr>
          <w:p>
            <w:r>
              <w:rPr>
                <w:sz w:val="13"/>
              </w:rPr>
              <w:t>positive for AI-assisted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A040</w:t>
            </w:r>
          </w:p>
        </w:tc>
        <w:tc>
          <w:tcPr>
            <w:tcW w:type="dxa" w:w="1648"/>
            <w:vAlign w:val="top"/>
          </w:tcPr>
          <w:p>
            <w:r>
              <w:rPr>
                <w:sz w:val="13"/>
              </w:rPr>
              <w:t>nam_understanding_2025</w:t>
            </w:r>
          </w:p>
        </w:tc>
        <w:tc>
          <w:tcPr>
            <w:tcW w:type="dxa" w:w="1648"/>
            <w:vAlign w:val="top"/>
          </w:tcPr>
          <w:p>
            <w:r>
              <w:rPr>
                <w:sz w:val="13"/>
              </w:rPr>
              <w:t>Prompting and conversational strategies</w:t>
            </w:r>
          </w:p>
        </w:tc>
        <w:tc>
          <w:tcPr>
            <w:tcW w:type="dxa" w:w="1648"/>
            <w:vAlign w:val="top"/>
          </w:tcPr>
          <w:p>
            <w:r>
              <w:rPr>
                <w:sz w:val="13"/>
              </w:rPr>
              <w:t>Finally, based on these findings, we propose and evaluate a tool, AutoPrompter, for automatically improving prompts by inferring missing information from the surrounding code context, leading to a 27% improvement in edit correctness on our test set.</w:t>
            </w:r>
          </w:p>
        </w:tc>
        <w:tc>
          <w:tcPr>
            <w:tcW w:type="dxa" w:w="1648"/>
            <w:vAlign w:val="top"/>
          </w:tcPr>
          <w:p>
            <w:r>
              <w:rPr>
                <w:sz w:val="13"/>
              </w:rPr>
              <w:t>percentage</w:t>
            </w:r>
          </w:p>
        </w:tc>
        <w:tc>
          <w:tcPr>
            <w:tcW w:type="dxa" w:w="1648"/>
            <w:vAlign w:val="top"/>
          </w:tcPr>
          <w:p>
            <w:r>
              <w:rPr>
                <w:sz w:val="13"/>
              </w:rPr>
              <w:t>positive for AI-assisted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A041</w:t>
            </w:r>
          </w:p>
        </w:tc>
        <w:tc>
          <w:tcPr>
            <w:tcW w:type="dxa" w:w="1648"/>
            <w:vAlign w:val="top"/>
          </w:tcPr>
          <w:p>
            <w:r>
              <w:rPr>
                <w:sz w:val="13"/>
              </w:rPr>
              <w:t>nguyen_empirical_2022</w:t>
            </w:r>
          </w:p>
        </w:tc>
        <w:tc>
          <w:tcPr>
            <w:tcW w:type="dxa" w:w="1648"/>
            <w:vAlign w:val="top"/>
          </w:tcPr>
          <w:p>
            <w:r>
              <w:rPr>
                <w:sz w:val="13"/>
              </w:rPr>
              <w:t>User experience and perceived usefulness</w:t>
            </w:r>
          </w:p>
        </w:tc>
        <w:tc>
          <w:tcPr>
            <w:tcW w:type="dxa" w:w="1648"/>
            <w:vAlign w:val="top"/>
          </w:tcPr>
          <w:p>
            <w:r>
              <w:rPr>
                <w:sz w:val="13"/>
              </w:rPr>
              <w:t>We use 33 LeetCode questions to create queries for Copilot in four different programming languages.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A042</w:t>
            </w:r>
          </w:p>
        </w:tc>
        <w:tc>
          <w:tcPr>
            <w:tcW w:type="dxa" w:w="1648"/>
            <w:vAlign w:val="top"/>
          </w:tcPr>
          <w:p>
            <w:r>
              <w:rPr>
                <w:sz w:val="13"/>
              </w:rPr>
              <w:t>nguyen_empirical_2022</w:t>
            </w:r>
          </w:p>
        </w:tc>
        <w:tc>
          <w:tcPr>
            <w:tcW w:type="dxa" w:w="1648"/>
            <w:vAlign w:val="top"/>
          </w:tcPr>
          <w:p>
            <w:r>
              <w:rPr>
                <w:sz w:val="13"/>
              </w:rPr>
              <w:t>Collaborative development and social sharing</w:t>
            </w:r>
          </w:p>
        </w:tc>
        <w:tc>
          <w:tcPr>
            <w:tcW w:type="dxa" w:w="1648"/>
            <w:vAlign w:val="top"/>
          </w:tcPr>
          <w:p>
            <w:r>
              <w:rPr>
                <w:sz w:val="13"/>
              </w:rPr>
              <w:t>We also find some potential Copilot shortcomings, such as generating code that can be further simplified and code that relies on undefined helper methods.</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A043</w:t>
            </w:r>
          </w:p>
        </w:tc>
        <w:tc>
          <w:tcPr>
            <w:tcW w:type="dxa" w:w="1648"/>
            <w:vAlign w:val="top"/>
          </w:tcPr>
          <w:p>
            <w:r>
              <w:rPr>
                <w:sz w:val="13"/>
              </w:rPr>
              <w:t>olausson_is_2024</w:t>
            </w:r>
          </w:p>
        </w:tc>
        <w:tc>
          <w:tcPr>
            <w:tcW w:type="dxa" w:w="1648"/>
            <w:vAlign w:val="top"/>
          </w:tcPr>
          <w:p>
            <w:r>
              <w:rPr>
                <w:sz w:val="13"/>
              </w:rPr>
              <w:t>Prompting and conversational strategies</w:t>
            </w:r>
          </w:p>
        </w:tc>
        <w:tc>
          <w:tcPr>
            <w:tcW w:type="dxa" w:w="1648"/>
            <w:vAlign w:val="top"/>
          </w:tcPr>
          <w:p>
            <w:r>
              <w:rPr>
                <w:sz w:val="13"/>
              </w:rPr>
              <w:t>In this paper, we analyze Code Llama, GPT-3.5 and GPT-4’s ability to perform self-repair on problems taken from HumanEval and APPS.</w:t>
            </w:r>
          </w:p>
        </w:tc>
        <w:tc>
          <w:tcPr>
            <w:tcW w:type="dxa" w:w="1648"/>
            <w:vAlign w:val="top"/>
          </w:tcPr>
          <w:p>
            <w:r>
              <w:rPr>
                <w:sz w:val="13"/>
              </w:rPr>
              <w:t>rate / count</w:t>
            </w:r>
          </w:p>
        </w:tc>
        <w:tc>
          <w:tcPr>
            <w:tcW w:type="dxa" w:w="1648"/>
            <w:vAlign w:val="top"/>
          </w:tcPr>
          <w:p>
            <w:r>
              <w:rPr>
                <w:sz w:val="13"/>
              </w:rPr>
              <w:t>mixed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A044</w:t>
            </w:r>
          </w:p>
        </w:tc>
        <w:tc>
          <w:tcPr>
            <w:tcW w:type="dxa" w:w="1648"/>
            <w:vAlign w:val="top"/>
          </w:tcPr>
          <w:p>
            <w:r>
              <w:rPr>
                <w:sz w:val="13"/>
              </w:rPr>
              <w:t>olewicki_impact_2026</w:t>
            </w:r>
          </w:p>
        </w:tc>
        <w:tc>
          <w:tcPr>
            <w:tcW w:type="dxa" w:w="1648"/>
            <w:vAlign w:val="top"/>
          </w:tcPr>
          <w:p>
            <w:r>
              <w:rPr>
                <w:sz w:val="13"/>
              </w:rPr>
              <w:t>Robustness to prompt or language variation</w:t>
            </w:r>
          </w:p>
        </w:tc>
        <w:tc>
          <w:tcPr>
            <w:tcW w:type="dxa" w:w="1648"/>
            <w:vAlign w:val="top"/>
          </w:tcPr>
          <w:p>
            <w:r>
              <w:rPr>
                <w:sz w:val="13"/>
              </w:rPr>
              <w:t>Based on more than 587 patch reviews, we observed that 8.1%, of LLM-generated comments were accepted by reviewers in each organization respectively, while 14.6% and 20.5% other comments were still marked as valuable as review or development tips.</w:t>
            </w:r>
          </w:p>
        </w:tc>
        <w:tc>
          <w:tcPr>
            <w:tcW w:type="dxa" w:w="1648"/>
            <w:vAlign w:val="top"/>
          </w:tcPr>
          <w:p>
            <w:r>
              <w:rPr>
                <w:sz w:val="13"/>
              </w:rPr>
              <w:t>percentage</w:t>
            </w:r>
          </w:p>
        </w:tc>
        <w:tc>
          <w:tcPr>
            <w:tcW w:type="dxa" w:w="1648"/>
            <w:vAlign w:val="top"/>
          </w:tcPr>
          <w:p>
            <w:r>
              <w:rPr>
                <w:sz w:val="13"/>
              </w:rPr>
              <w:t>positive for AI-assisted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A045</w:t>
            </w:r>
          </w:p>
        </w:tc>
        <w:tc>
          <w:tcPr>
            <w:tcW w:type="dxa" w:w="1648"/>
            <w:vAlign w:val="top"/>
          </w:tcPr>
          <w:p>
            <w:r>
              <w:rPr>
                <w:sz w:val="13"/>
              </w:rPr>
              <w:t>otten_prompting_2026</w:t>
            </w:r>
          </w:p>
        </w:tc>
        <w:tc>
          <w:tcPr>
            <w:tcW w:type="dxa" w:w="1648"/>
            <w:vAlign w:val="top"/>
          </w:tcPr>
          <w:p>
            <w:r>
              <w:rPr>
                <w:sz w:val="13"/>
              </w:rPr>
              <w:t>User experience and perceived usefulness</w:t>
            </w:r>
          </w:p>
        </w:tc>
        <w:tc>
          <w:tcPr>
            <w:tcW w:type="dxa" w:w="1648"/>
            <w:vAlign w:val="top"/>
          </w:tcPr>
          <w:p>
            <w:r>
              <w:rPr>
                <w:sz w:val="13"/>
              </w:rPr>
              <w:t>We surveyed 72 software practitioners who actively use GenAI to characterize AI usage patterns throughout the development process.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A046</w:t>
            </w:r>
          </w:p>
        </w:tc>
        <w:tc>
          <w:tcPr>
            <w:tcW w:type="dxa" w:w="1648"/>
            <w:vAlign w:val="top"/>
          </w:tcPr>
          <w:p>
            <w:r>
              <w:rPr>
                <w:sz w:val="13"/>
              </w:rPr>
              <w:t>park_continuance_2025</w:t>
            </w:r>
          </w:p>
        </w:tc>
        <w:tc>
          <w:tcPr>
            <w:tcW w:type="dxa" w:w="1648"/>
            <w:vAlign w:val="top"/>
          </w:tcPr>
          <w:p>
            <w:r>
              <w:rPr>
                <w:sz w:val="13"/>
              </w:rPr>
              <w:t>Accessibility and inclusive interaction</w:t>
            </w:r>
          </w:p>
        </w:tc>
        <w:tc>
          <w:tcPr>
            <w:tcW w:type="dxa" w:w="1648"/>
            <w:vAlign w:val="top"/>
          </w:tcPr>
          <w:p>
            <w:r>
              <w:rPr>
                <w:sz w:val="13"/>
              </w:rPr>
              <w:t>Analyzing data from 1,338 developers, the study reveals that developers are more inclined to adopt LLM-oriented services for their programming tasks.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A047</w:t>
            </w:r>
          </w:p>
        </w:tc>
        <w:tc>
          <w:tcPr>
            <w:tcW w:type="dxa" w:w="1648"/>
            <w:vAlign w:val="top"/>
          </w:tcPr>
          <w:p>
            <w:r>
              <w:rPr>
                <w:sz w:val="13"/>
              </w:rPr>
              <w:t>park_continuance_2025</w:t>
            </w:r>
          </w:p>
        </w:tc>
        <w:tc>
          <w:tcPr>
            <w:tcW w:type="dxa" w:w="1648"/>
            <w:vAlign w:val="top"/>
          </w:tcPr>
          <w:p>
            <w:r>
              <w:rPr>
                <w:sz w:val="13"/>
              </w:rPr>
              <w:t>Robustness to prompt or language variation</w:t>
            </w:r>
          </w:p>
        </w:tc>
        <w:tc>
          <w:tcPr>
            <w:tcW w:type="dxa" w:w="1648"/>
            <w:vAlign w:val="top"/>
          </w:tcPr>
          <w:p>
            <w:r>
              <w:rPr>
                <w:sz w:val="13"/>
              </w:rPr>
              <w:t>These insights emphasize the importance of ensuring that LLM-oriented services not only meet developers’ expectations but also enhance their overall programming experience through ease of use and enjoyment.</w:t>
            </w:r>
          </w:p>
        </w:tc>
        <w:tc>
          <w:tcPr>
            <w:tcW w:type="dxa" w:w="1648"/>
            <w:vAlign w:val="top"/>
          </w:tcPr>
          <w:p>
            <w:r>
              <w:rPr>
                <w:sz w:val="13"/>
              </w:rPr>
              <w:t>qualitative finding</w:t>
            </w:r>
          </w:p>
        </w:tc>
        <w:tc>
          <w:tcPr>
            <w:tcW w:type="dxa" w:w="1648"/>
            <w:vAlign w:val="top"/>
          </w:tcPr>
          <w:p>
            <w:r>
              <w:rPr>
                <w:sz w:val="13"/>
              </w:rPr>
              <w:t>mixed</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A048</w:t>
            </w:r>
          </w:p>
        </w:tc>
        <w:tc>
          <w:tcPr>
            <w:tcW w:type="dxa" w:w="1648"/>
            <w:vAlign w:val="top"/>
          </w:tcPr>
          <w:p>
            <w:r>
              <w:rPr>
                <w:sz w:val="13"/>
              </w:rPr>
              <w:t>perry_users_2023</w:t>
            </w:r>
          </w:p>
        </w:tc>
        <w:tc>
          <w:tcPr>
            <w:tcW w:type="dxa" w:w="1648"/>
            <w:vAlign w:val="top"/>
          </w:tcPr>
          <w:p>
            <w:r>
              <w:rPr>
                <w:sz w:val="13"/>
              </w:rPr>
              <w:t>Collaborative development and social sharing</w:t>
            </w:r>
          </w:p>
        </w:tc>
        <w:tc>
          <w:tcPr>
            <w:tcW w:type="dxa" w:w="1648"/>
            <w:vAlign w:val="top"/>
          </w:tcPr>
          <w:p>
            <w:r>
              <w:rPr>
                <w:sz w:val="13"/>
              </w:rPr>
              <w:t>Participants with access to an AI assistant were also more likely to believe they wrote secure code, suggesting that such tools may lead users to be overconfident about security flaws in their code.</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A049</w:t>
            </w:r>
          </w:p>
        </w:tc>
        <w:tc>
          <w:tcPr>
            <w:tcW w:type="dxa" w:w="1648"/>
            <w:vAlign w:val="top"/>
          </w:tcPr>
          <w:p>
            <w:r>
              <w:rPr>
                <w:sz w:val="13"/>
              </w:rPr>
              <w:t>prather_its_2024</w:t>
            </w:r>
          </w:p>
        </w:tc>
        <w:tc>
          <w:tcPr>
            <w:tcW w:type="dxa" w:w="1648"/>
            <w:vAlign w:val="top"/>
          </w:tcPr>
          <w:p>
            <w:r>
              <w:rPr>
                <w:sz w:val="13"/>
              </w:rPr>
              <w:t>Prompting and conversational strategies</w:t>
            </w:r>
          </w:p>
        </w:tc>
        <w:tc>
          <w:tcPr>
            <w:tcW w:type="dxa" w:w="1648"/>
            <w:vAlign w:val="top"/>
          </w:tcPr>
          <w:p>
            <w:r>
              <w:rPr>
                <w:sz w:val="13"/>
              </w:rPr>
              <w:t>Through observations and interviews we explore student perceptions of the benefits and pitfalls of this technology for learning, present new observed interaction patterns, and discuss cognitive and metacognitive difficulties faced by students.</w:t>
            </w:r>
          </w:p>
        </w:tc>
        <w:tc>
          <w:tcPr>
            <w:tcW w:type="dxa" w:w="1648"/>
            <w:vAlign w:val="top"/>
          </w:tcPr>
          <w:p>
            <w:r>
              <w:rPr>
                <w:sz w:val="13"/>
              </w:rPr>
              <w:t>qualitative finding</w:t>
            </w:r>
          </w:p>
        </w:tc>
        <w:tc>
          <w:tcPr>
            <w:tcW w:type="dxa" w:w="1648"/>
            <w:vAlign w:val="top"/>
          </w:tcPr>
          <w:p>
            <w:r>
              <w:rPr>
                <w:sz w:val="13"/>
              </w:rPr>
              <w:t>positive for AI-assisted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A050</w:t>
            </w:r>
          </w:p>
        </w:tc>
        <w:tc>
          <w:tcPr>
            <w:tcW w:type="dxa" w:w="1648"/>
            <w:vAlign w:val="top"/>
          </w:tcPr>
          <w:p>
            <w:r>
              <w:rPr>
                <w:sz w:val="13"/>
              </w:rPr>
              <w:t>prather_its_2024</w:t>
            </w:r>
          </w:p>
        </w:tc>
        <w:tc>
          <w:tcPr>
            <w:tcW w:type="dxa" w:w="1648"/>
            <w:vAlign w:val="top"/>
          </w:tcPr>
          <w:p>
            <w:r>
              <w:rPr>
                <w:sz w:val="13"/>
              </w:rPr>
              <w:t>Learning, novices and education</w:t>
            </w:r>
          </w:p>
        </w:tc>
        <w:tc>
          <w:tcPr>
            <w:tcW w:type="dxa" w:w="1648"/>
            <w:vAlign w:val="top"/>
          </w:tcPr>
          <w:p>
            <w:r>
              <w:rPr>
                <w:sz w:val="13"/>
              </w:rPr>
              <w:t>We consider design implications of these findings, specifically in terms of how tools like Copilot can better support and scaffold the novice programming experience.</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A051</w:t>
            </w:r>
          </w:p>
        </w:tc>
        <w:tc>
          <w:tcPr>
            <w:tcW w:type="dxa" w:w="1648"/>
            <w:vAlign w:val="top"/>
          </w:tcPr>
          <w:p>
            <w:r>
              <w:rPr>
                <w:sz w:val="13"/>
              </w:rPr>
              <w:t>pu_assistance_2025</w:t>
            </w:r>
          </w:p>
        </w:tc>
        <w:tc>
          <w:tcPr>
            <w:tcW w:type="dxa" w:w="1648"/>
            <w:vAlign w:val="top"/>
          </w:tcPr>
          <w:p>
            <w:r>
              <w:rPr>
                <w:sz w:val="13"/>
              </w:rPr>
              <w:t>Robustness to prompt or language variation</w:t>
            </w:r>
          </w:p>
        </w:tc>
        <w:tc>
          <w:tcPr>
            <w:tcW w:type="dxa" w:w="1648"/>
            <w:vAlign w:val="top"/>
          </w:tcPr>
          <w:p>
            <w:r>
              <w:rPr>
                <w:sz w:val="13"/>
              </w:rPr>
              <w:t>In a within-subject study (A = 18), we fnd that proactive agents increase efciency compared to prompt-only paradigm, but also incur workfow disruptions.</w:t>
            </w:r>
          </w:p>
        </w:tc>
        <w:tc>
          <w:tcPr>
            <w:tcW w:type="dxa" w:w="1648"/>
            <w:vAlign w:val="top"/>
          </w:tcPr>
          <w:p>
            <w:r>
              <w:rPr>
                <w:sz w:val="13"/>
              </w:rPr>
              <w:t>rate / count</w:t>
            </w:r>
          </w:p>
        </w:tc>
        <w:tc>
          <w:tcPr>
            <w:tcW w:type="dxa" w:w="1648"/>
            <w:vAlign w:val="top"/>
          </w:tcPr>
          <w:p>
            <w:r>
              <w:rPr>
                <w:sz w:val="13"/>
              </w:rPr>
              <w:t>mixed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A052</w:t>
            </w:r>
          </w:p>
        </w:tc>
        <w:tc>
          <w:tcPr>
            <w:tcW w:type="dxa" w:w="1648"/>
            <w:vAlign w:val="top"/>
          </w:tcPr>
          <w:p>
            <w:r>
              <w:rPr>
                <w:sz w:val="13"/>
              </w:rPr>
              <w:t>pu_assistance_2025</w:t>
            </w:r>
          </w:p>
        </w:tc>
        <w:tc>
          <w:tcPr>
            <w:tcW w:type="dxa" w:w="1648"/>
            <w:vAlign w:val="top"/>
          </w:tcPr>
          <w:p>
            <w:r>
              <w:rPr>
                <w:sz w:val="13"/>
              </w:rPr>
              <w:t>Interaction patterns and workflow integration</w:t>
            </w:r>
          </w:p>
        </w:tc>
        <w:tc>
          <w:tcPr>
            <w:tcW w:type="dxa" w:w="1648"/>
            <w:vAlign w:val="top"/>
          </w:tcPr>
          <w:p>
            <w:r>
              <w:rPr>
                <w:sz w:val="13"/>
              </w:rPr>
              <w:t>Our research contributes to the design exploration and evaluation of proactive AI systems, presenting design implications on AI-integrated programming workfow.</w:t>
            </w:r>
          </w:p>
        </w:tc>
        <w:tc>
          <w:tcPr>
            <w:tcW w:type="dxa" w:w="1648"/>
            <w:vAlign w:val="top"/>
          </w:tcPr>
          <w:p>
            <w:r>
              <w:rPr>
                <w:sz w:val="13"/>
              </w:rPr>
              <w:t>qualitative finding</w:t>
            </w:r>
          </w:p>
        </w:tc>
        <w:tc>
          <w:tcPr>
            <w:tcW w:type="dxa" w:w="1648"/>
            <w:vAlign w:val="top"/>
          </w:tcPr>
          <w:p>
            <w:r>
              <w:rPr>
                <w:sz w:val="13"/>
              </w:rPr>
              <w:t>mixed</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A053</w:t>
            </w:r>
          </w:p>
        </w:tc>
        <w:tc>
          <w:tcPr>
            <w:tcW w:type="dxa" w:w="1648"/>
            <w:vAlign w:val="top"/>
          </w:tcPr>
          <w:p>
            <w:r>
              <w:rPr>
                <w:sz w:val="13"/>
              </w:rPr>
              <w:t>qiao_comprehension-performance_2025</w:t>
            </w:r>
          </w:p>
        </w:tc>
        <w:tc>
          <w:tcPr>
            <w:tcW w:type="dxa" w:w="1648"/>
            <w:vAlign w:val="top"/>
          </w:tcPr>
          <w:p>
            <w:r>
              <w:rPr>
                <w:sz w:val="13"/>
              </w:rPr>
              <w:t>Prompting and conversational strategies</w:t>
            </w:r>
          </w:p>
        </w:tc>
        <w:tc>
          <w:tcPr>
            <w:tcW w:type="dxa" w:w="1648"/>
            <w:vAlign w:val="top"/>
          </w:tcPr>
          <w:p>
            <w:r>
              <w:rPr>
                <w:sz w:val="13"/>
              </w:rPr>
              <w:t>In a within-subjects experimental study, 18 computer science graduate students completed feature implementation tasks with and without Copilot.</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A054</w:t>
            </w:r>
          </w:p>
        </w:tc>
        <w:tc>
          <w:tcPr>
            <w:tcW w:type="dxa" w:w="1648"/>
            <w:vAlign w:val="top"/>
          </w:tcPr>
          <w:p>
            <w:r>
              <w:rPr>
                <w:sz w:val="13"/>
              </w:rPr>
              <w:t>santos_model-assisted_2025</w:t>
            </w:r>
          </w:p>
        </w:tc>
        <w:tc>
          <w:tcPr>
            <w:tcW w:type="dxa" w:w="1648"/>
            <w:vAlign w:val="top"/>
          </w:tcPr>
          <w:p>
            <w:r>
              <w:rPr>
                <w:sz w:val="13"/>
              </w:rPr>
              <w:t>Accessibility and inclusive interaction</w:t>
            </w:r>
          </w:p>
        </w:tc>
        <w:tc>
          <w:tcPr>
            <w:tcW w:type="dxa" w:w="1648"/>
            <w:vAlign w:val="top"/>
          </w:tcPr>
          <w:p>
            <w:r>
              <w:rPr>
                <w:sz w:val="13"/>
              </w:rPr>
              <w:t>This paper presents preliminary findings from a global survey of 131 software practitioners.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A055</w:t>
            </w:r>
          </w:p>
        </w:tc>
        <w:tc>
          <w:tcPr>
            <w:tcW w:type="dxa" w:w="1648"/>
            <w:vAlign w:val="top"/>
          </w:tcPr>
          <w:p>
            <w:r>
              <w:rPr>
                <w:sz w:val="13"/>
              </w:rPr>
              <w:t>savelka_can_2023</w:t>
            </w:r>
          </w:p>
        </w:tc>
        <w:tc>
          <w:tcPr>
            <w:tcW w:type="dxa" w:w="1648"/>
            <w:vAlign w:val="top"/>
          </w:tcPr>
          <w:p>
            <w:r>
              <w:rPr>
                <w:sz w:val="13"/>
              </w:rPr>
              <w:t>Interaction patterns and workflow integration</w:t>
            </w:r>
          </w:p>
        </w:tc>
        <w:tc>
          <w:tcPr>
            <w:tcW w:type="dxa" w:w="1648"/>
            <w:vAlign w:val="top"/>
          </w:tcPr>
          <w:p>
            <w:r>
              <w:rPr>
                <w:sz w:val="13"/>
              </w:rPr>
              <w:t>We evaluated GPT on three Python courses that employ assessments ranging from simple multiple-choice questions (no code involved) to complex programming projects with code bases distributed into multiple files (599 exercises overall).</w:t>
            </w:r>
          </w:p>
        </w:tc>
        <w:tc>
          <w:tcPr>
            <w:tcW w:type="dxa" w:w="1648"/>
            <w:vAlign w:val="top"/>
          </w:tcPr>
          <w:p>
            <w:r>
              <w:rPr>
                <w:sz w:val="13"/>
              </w:rPr>
              <w:t>rate / count</w:t>
            </w:r>
          </w:p>
        </w:tc>
        <w:tc>
          <w:tcPr>
            <w:tcW w:type="dxa" w:w="1648"/>
            <w:vAlign w:val="top"/>
          </w:tcPr>
          <w:p>
            <w:r>
              <w:rPr>
                <w:sz w:val="13"/>
              </w:rPr>
              <w:t>mixed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A056</w:t>
            </w:r>
          </w:p>
        </w:tc>
        <w:tc>
          <w:tcPr>
            <w:tcW w:type="dxa" w:w="1648"/>
            <w:vAlign w:val="top"/>
          </w:tcPr>
          <w:p>
            <w:r>
              <w:rPr>
                <w:sz w:val="13"/>
              </w:rPr>
              <w:t>shah_students_2025</w:t>
            </w:r>
          </w:p>
        </w:tc>
        <w:tc>
          <w:tcPr>
            <w:tcW w:type="dxa" w:w="1648"/>
            <w:vAlign w:val="top"/>
          </w:tcPr>
          <w:p>
            <w:r>
              <w:rPr>
                <w:sz w:val="13"/>
              </w:rPr>
              <w:t>Collaborative development and social sharing</w:t>
            </w:r>
          </w:p>
        </w:tc>
        <w:tc>
          <w:tcPr>
            <w:tcW w:type="dxa" w:w="1648"/>
            <w:vAlign w:val="top"/>
          </w:tcPr>
          <w:p>
            <w:r>
              <w:rPr>
                <w:sz w:val="13"/>
              </w:rPr>
              <w:t>Finally, students reported significantly more trust in the code comprehension features than code generation features of Copilot, perhaps due to the presence of trust affordances in the Copilot chat that are absent in the code generation features.</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A057</w:t>
            </w:r>
          </w:p>
        </w:tc>
        <w:tc>
          <w:tcPr>
            <w:tcW w:type="dxa" w:w="1648"/>
            <w:vAlign w:val="top"/>
          </w:tcPr>
          <w:p>
            <w:r>
              <w:rPr>
                <w:sz w:val="13"/>
              </w:rPr>
              <w:t>shah_students_2025</w:t>
            </w:r>
          </w:p>
        </w:tc>
        <w:tc>
          <w:tcPr>
            <w:tcW w:type="dxa" w:w="1648"/>
            <w:vAlign w:val="top"/>
          </w:tcPr>
          <w:p>
            <w:r>
              <w:rPr>
                <w:sz w:val="13"/>
              </w:rPr>
              <w:t>Accessibility and inclusive interaction</w:t>
            </w:r>
          </w:p>
        </w:tc>
        <w:tc>
          <w:tcPr>
            <w:tcW w:type="dxa" w:w="1648"/>
            <w:vAlign w:val="top"/>
          </w:tcPr>
          <w:p>
            <w:r>
              <w:rPr>
                <w:sz w:val="13"/>
              </w:rPr>
              <w:t>Our study takes the first steps in understanding how upper-division students use Github Copilot so that our instruction can adequately prepare students for a career in software engineering.</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A058</w:t>
            </w:r>
          </w:p>
        </w:tc>
        <w:tc>
          <w:tcPr>
            <w:tcW w:type="dxa" w:w="1648"/>
            <w:vAlign w:val="top"/>
          </w:tcPr>
          <w:p>
            <w:r>
              <w:rPr>
                <w:sz w:val="13"/>
              </w:rPr>
              <w:t>shihab_effects_2025</w:t>
            </w:r>
          </w:p>
        </w:tc>
        <w:tc>
          <w:tcPr>
            <w:tcW w:type="dxa" w:w="1648"/>
            <w:vAlign w:val="top"/>
          </w:tcPr>
          <w:p>
            <w:r>
              <w:rPr>
                <w:sz w:val="13"/>
              </w:rPr>
              <w:t>Learning, novices and education</w:t>
            </w:r>
          </w:p>
        </w:tc>
        <w:tc>
          <w:tcPr>
            <w:tcW w:type="dxa" w:w="1648"/>
            <w:vAlign w:val="top"/>
          </w:tcPr>
          <w:p>
            <w:r>
              <w:rPr>
                <w:sz w:val="13"/>
              </w:rPr>
              <w:t>We conducted a controlled experiment in which 10 undergraduate computer science students completed highly similar brownfield development tasks with and without Copilot in a legacy web application.</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A059</w:t>
            </w:r>
          </w:p>
        </w:tc>
        <w:tc>
          <w:tcPr>
            <w:tcW w:type="dxa" w:w="1648"/>
            <w:vAlign w:val="top"/>
          </w:tcPr>
          <w:p>
            <w:r>
              <w:rPr>
                <w:sz w:val="13"/>
              </w:rPr>
              <w:t>shihab_effects_2025</w:t>
            </w:r>
          </w:p>
        </w:tc>
        <w:tc>
          <w:tcPr>
            <w:tcW w:type="dxa" w:w="1648"/>
            <w:vAlign w:val="top"/>
          </w:tcPr>
          <w:p>
            <w:r>
              <w:rPr>
                <w:sz w:val="13"/>
              </w:rPr>
              <w:t>User experience and perceived usefulness</w:t>
            </w:r>
          </w:p>
        </w:tc>
        <w:tc>
          <w:tcPr>
            <w:tcW w:type="dxa" w:w="1648"/>
            <w:vAlign w:val="top"/>
          </w:tcPr>
          <w:p>
            <w:r>
              <w:rPr>
                <w:sz w:val="13"/>
              </w:rPr>
              <w:t>Complete study results and analysis are presented at ghcopilot-icer.github.io.</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A060</w:t>
            </w:r>
          </w:p>
        </w:tc>
        <w:tc>
          <w:tcPr>
            <w:tcW w:type="dxa" w:w="1648"/>
            <w:vAlign w:val="top"/>
          </w:tcPr>
          <w:p>
            <w:r>
              <w:rPr>
                <w:sz w:val="13"/>
              </w:rPr>
              <w:t>song_impact_2024</w:t>
            </w:r>
          </w:p>
        </w:tc>
        <w:tc>
          <w:tcPr>
            <w:tcW w:type="dxa" w:w="1648"/>
            <w:vAlign w:val="top"/>
          </w:tcPr>
          <w:p>
            <w:r>
              <w:rPr>
                <w:sz w:val="13"/>
              </w:rPr>
              <w:t>Trust, verification and reliance</w:t>
            </w:r>
          </w:p>
        </w:tc>
        <w:tc>
          <w:tcPr>
            <w:tcW w:type="dxa" w:w="1648"/>
            <w:vAlign w:val="top"/>
          </w:tcPr>
          <w:p>
            <w:r>
              <w:rPr>
                <w:sz w:val="13"/>
              </w:rPr>
              <w:t>Using GitHub's proprietary Copilot usage data, combined with public OSS repository data obtained from GitHub, we find that Copilot use increases project-level code contributions by 5.9%.</w:t>
            </w:r>
          </w:p>
        </w:tc>
        <w:tc>
          <w:tcPr>
            <w:tcW w:type="dxa" w:w="1648"/>
            <w:vAlign w:val="top"/>
          </w:tcPr>
          <w:p>
            <w:r>
              <w:rPr>
                <w:sz w:val="13"/>
              </w:rPr>
              <w:t>percentage</w:t>
            </w:r>
          </w:p>
        </w:tc>
        <w:tc>
          <w:tcPr>
            <w:tcW w:type="dxa" w:w="1648"/>
            <w:vAlign w:val="top"/>
          </w:tcPr>
          <w:p>
            <w:r>
              <w:rPr>
                <w:sz w:val="13"/>
              </w:rPr>
              <w:t>mixed</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A061</w:t>
            </w:r>
          </w:p>
        </w:tc>
        <w:tc>
          <w:tcPr>
            <w:tcW w:type="dxa" w:w="1648"/>
            <w:vAlign w:val="top"/>
          </w:tcPr>
          <w:p>
            <w:r>
              <w:rPr>
                <w:sz w:val="13"/>
              </w:rPr>
              <w:t>song_impact_2024</w:t>
            </w:r>
          </w:p>
        </w:tc>
        <w:tc>
          <w:tcPr>
            <w:tcW w:type="dxa" w:w="1648"/>
            <w:vAlign w:val="top"/>
          </w:tcPr>
          <w:p>
            <w:r>
              <w:rPr>
                <w:sz w:val="13"/>
              </w:rPr>
              <w:t>Prompting and conversational strategies</w:t>
            </w:r>
          </w:p>
        </w:tc>
        <w:tc>
          <w:tcPr>
            <w:tcW w:type="dxa" w:w="1648"/>
            <w:vAlign w:val="top"/>
          </w:tcPr>
          <w:p>
            <w:r>
              <w:rPr>
                <w:sz w:val="13"/>
              </w:rPr>
              <w:t>Our findings on the differential effects between core and peripheral developers also provide important implications for the structure of OSS communities in the long run.</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A062</w:t>
            </w:r>
          </w:p>
        </w:tc>
        <w:tc>
          <w:tcPr>
            <w:tcW w:type="dxa" w:w="1648"/>
            <w:vAlign w:val="top"/>
          </w:tcPr>
          <w:p>
            <w:r>
              <w:rPr>
                <w:sz w:val="13"/>
              </w:rPr>
              <w:t>stray_generative_2025</w:t>
            </w:r>
          </w:p>
        </w:tc>
        <w:tc>
          <w:tcPr>
            <w:tcW w:type="dxa" w:w="1648"/>
            <w:vAlign w:val="top"/>
          </w:tcPr>
          <w:p>
            <w:r>
              <w:rPr>
                <w:sz w:val="13"/>
              </w:rPr>
              <w:t>Accessibility and inclusive interaction</w:t>
            </w:r>
          </w:p>
        </w:tc>
        <w:tc>
          <w:tcPr>
            <w:tcW w:type="dxa" w:w="1648"/>
            <w:vAlign w:val="top"/>
          </w:tcPr>
          <w:p>
            <w:r>
              <w:rPr>
                <w:sz w:val="13"/>
              </w:rPr>
              <w:t>During 25 days of observations, we observed 49 programming sessions.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A063</w:t>
            </w:r>
          </w:p>
        </w:tc>
        <w:tc>
          <w:tcPr>
            <w:tcW w:type="dxa" w:w="1648"/>
            <w:vAlign w:val="top"/>
          </w:tcPr>
          <w:p>
            <w:r>
              <w:rPr>
                <w:sz w:val="13"/>
              </w:rPr>
              <w:t>stray_generative_2025</w:t>
            </w:r>
          </w:p>
        </w:tc>
        <w:tc>
          <w:tcPr>
            <w:tcW w:type="dxa" w:w="1648"/>
            <w:vAlign w:val="top"/>
          </w:tcPr>
          <w:p>
            <w:r>
              <w:rPr>
                <w:sz w:val="13"/>
              </w:rPr>
              <w:t>Robustness to prompt or language variation</w:t>
            </w:r>
          </w:p>
        </w:tc>
        <w:tc>
          <w:tcPr>
            <w:tcW w:type="dxa" w:w="1648"/>
            <w:vAlign w:val="top"/>
          </w:tcPr>
          <w:p>
            <w:r>
              <w:rPr>
                <w:sz w:val="13"/>
              </w:rPr>
              <w:t>However, challenges such as dependency on AI tools and the accuracy of AI-generated suggestions persist.</w:t>
            </w:r>
          </w:p>
        </w:tc>
        <w:tc>
          <w:tcPr>
            <w:tcW w:type="dxa" w:w="1648"/>
            <w:vAlign w:val="top"/>
          </w:tcPr>
          <w:p>
            <w:r>
              <w:rPr>
                <w:sz w:val="13"/>
              </w:rPr>
              <w:t>qualitative finding</w:t>
            </w:r>
          </w:p>
        </w:tc>
        <w:tc>
          <w:tcPr>
            <w:tcW w:type="dxa" w:w="1648"/>
            <w:vAlign w:val="top"/>
          </w:tcPr>
          <w:p>
            <w:r>
              <w:rPr>
                <w:sz w:val="13"/>
              </w:rPr>
              <w:t>mixed</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A064</w:t>
            </w:r>
          </w:p>
        </w:tc>
        <w:tc>
          <w:tcPr>
            <w:tcW w:type="dxa" w:w="1648"/>
            <w:vAlign w:val="top"/>
          </w:tcPr>
          <w:p>
            <w:r>
              <w:rPr>
                <w:sz w:val="13"/>
              </w:rPr>
              <w:t>stray_human-ai_2025</w:t>
            </w:r>
          </w:p>
        </w:tc>
        <w:tc>
          <w:tcPr>
            <w:tcW w:type="dxa" w:w="1648"/>
            <w:vAlign w:val="top"/>
          </w:tcPr>
          <w:p>
            <w:r>
              <w:rPr>
                <w:sz w:val="13"/>
              </w:rPr>
              <w:t>User experience and perceived usefulness</w:t>
            </w:r>
          </w:p>
        </w:tc>
        <w:tc>
          <w:tcPr>
            <w:tcW w:type="dxa" w:w="1648"/>
            <w:vAlign w:val="top"/>
          </w:tcPr>
          <w:p>
            <w:r>
              <w:rPr>
                <w:sz w:val="13"/>
              </w:rPr>
              <w:t>Using a mixed-methods approach, we analyze 13 interviews and a survey with 114 respondents to explore the impact of GitHub Copilot (IDE-integrated AI) and ChatGPT (conversational AI assistant) on software engineering workflows.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A065</w:t>
            </w:r>
          </w:p>
        </w:tc>
        <w:tc>
          <w:tcPr>
            <w:tcW w:type="dxa" w:w="1648"/>
            <w:vAlign w:val="top"/>
          </w:tcPr>
          <w:p>
            <w:r>
              <w:rPr>
                <w:sz w:val="13"/>
              </w:rPr>
              <w:t>stray_human-ai_2025</w:t>
            </w:r>
          </w:p>
        </w:tc>
        <w:tc>
          <w:tcPr>
            <w:tcW w:type="dxa" w:w="1648"/>
            <w:vAlign w:val="top"/>
          </w:tcPr>
          <w:p>
            <w:r>
              <w:rPr>
                <w:sz w:val="13"/>
              </w:rPr>
              <w:t>Learning, novices and education</w:t>
            </w:r>
          </w:p>
        </w:tc>
        <w:tc>
          <w:tcPr>
            <w:tcW w:type="dxa" w:w="1648"/>
            <w:vAlign w:val="top"/>
          </w:tcPr>
          <w:p>
            <w:r>
              <w:rPr>
                <w:sz w:val="13"/>
              </w:rPr>
              <w:t>GitHub Copilot has been trained on billions of lines of open source GitHub code, and is one of such tools that has been increasingly used since its launch in June 2021.</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A066</w:t>
            </w:r>
          </w:p>
        </w:tc>
        <w:tc>
          <w:tcPr>
            <w:tcW w:type="dxa" w:w="1648"/>
            <w:vAlign w:val="top"/>
          </w:tcPr>
          <w:p>
            <w:r>
              <w:rPr>
                <w:sz w:val="13"/>
              </w:rPr>
              <w:t>tufano_developers_2026</w:t>
            </w:r>
          </w:p>
        </w:tc>
        <w:tc>
          <w:tcPr>
            <w:tcW w:type="dxa" w:w="1648"/>
            <w:vAlign w:val="top"/>
          </w:tcPr>
          <w:p>
            <w:r>
              <w:rPr>
                <w:sz w:val="13"/>
              </w:rPr>
              <w:t>Interaction patterns and workflow integration</w:t>
            </w:r>
          </w:p>
        </w:tc>
        <w:tc>
          <w:tcPr>
            <w:tcW w:type="dxa" w:w="1648"/>
            <w:vAlign w:val="top"/>
          </w:tcPr>
          <w:p>
            <w:r>
              <w:rPr>
                <w:sz w:val="13"/>
              </w:rPr>
              <w:t>This paper—building upon our preliminary work presented at MSR 2024—aims at qualitatively investigating on the self-admitted use of two very popular generative AI tools—ChatGPT and GitHub Copilot—in software development.</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A067</w:t>
            </w:r>
          </w:p>
        </w:tc>
        <w:tc>
          <w:tcPr>
            <w:tcW w:type="dxa" w:w="1648"/>
            <w:vAlign w:val="top"/>
          </w:tcPr>
          <w:p>
            <w:r>
              <w:rPr>
                <w:sz w:val="13"/>
              </w:rPr>
              <w:t>tufano_developers_2026</w:t>
            </w:r>
          </w:p>
        </w:tc>
        <w:tc>
          <w:tcPr>
            <w:tcW w:type="dxa" w:w="1648"/>
            <w:vAlign w:val="top"/>
          </w:tcPr>
          <w:p>
            <w:r>
              <w:rPr>
                <w:sz w:val="13"/>
              </w:rPr>
              <w:t>Interaction patterns and workflow integration</w:t>
            </w:r>
          </w:p>
        </w:tc>
        <w:tc>
          <w:tcPr>
            <w:tcW w:type="dxa" w:w="1648"/>
            <w:vAlign w:val="top"/>
          </w:tcPr>
          <w:p>
            <w:r>
              <w:rPr>
                <w:sz w:val="13"/>
              </w:rPr>
              <w:t>The results suggest that students who try AIDEs will likely be tempted to use them for timesensitive work.</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A068</w:t>
            </w:r>
          </w:p>
        </w:tc>
        <w:tc>
          <w:tcPr>
            <w:tcW w:type="dxa" w:w="1648"/>
            <w:vAlign w:val="top"/>
          </w:tcPr>
          <w:p>
            <w:r>
              <w:rPr>
                <w:sz w:val="13"/>
              </w:rPr>
              <w:t>tufano_developers_2026</w:t>
            </w:r>
          </w:p>
        </w:tc>
        <w:tc>
          <w:tcPr>
            <w:tcW w:type="dxa" w:w="1648"/>
            <w:vAlign w:val="top"/>
          </w:tcPr>
          <w:p>
            <w:r>
              <w:rPr>
                <w:sz w:val="13"/>
              </w:rPr>
              <w:t>Trust, verification and reliance</w:t>
            </w:r>
          </w:p>
        </w:tc>
        <w:tc>
          <w:tcPr>
            <w:tcW w:type="dxa" w:w="1648"/>
            <w:vAlign w:val="top"/>
          </w:tcPr>
          <w:p>
            <w:r>
              <w:rPr>
                <w:sz w:val="13"/>
              </w:rPr>
              <w:t>The taxonomy of tasks we derived from such a qualitative study provided (i) developers with valuable insights into how generative AI can be integrated into their workflows, and (ii) researchers with a clear overview of tasks that developers perceive as well-suited for automation.</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A069</w:t>
            </w:r>
          </w:p>
        </w:tc>
        <w:tc>
          <w:tcPr>
            <w:tcW w:type="dxa" w:w="1648"/>
            <w:vAlign w:val="top"/>
          </w:tcPr>
          <w:p>
            <w:r>
              <w:rPr>
                <w:sz w:val="13"/>
              </w:rPr>
              <w:t>urs_human-ai_2025</w:t>
            </w:r>
          </w:p>
        </w:tc>
        <w:tc>
          <w:tcPr>
            <w:tcW w:type="dxa" w:w="1648"/>
            <w:vAlign w:val="top"/>
          </w:tcPr>
          <w:p>
            <w:r>
              <w:rPr>
                <w:sz w:val="13"/>
              </w:rPr>
              <w:t>Interaction patterns and workflow integration</w:t>
            </w:r>
          </w:p>
        </w:tc>
        <w:tc>
          <w:tcPr>
            <w:tcW w:type="dxa" w:w="1648"/>
            <w:vAlign w:val="top"/>
          </w:tcPr>
          <w:p>
            <w:r>
              <w:rPr>
                <w:sz w:val="13"/>
              </w:rPr>
              <w:t>Utilizing a mixed-methods approach with 72 participants across three experience levels, we conducted a within-subjects experiment comparing solo programming with AI-assisted development.</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A070</w:t>
            </w:r>
          </w:p>
        </w:tc>
        <w:tc>
          <w:tcPr>
            <w:tcW w:type="dxa" w:w="1648"/>
            <w:vAlign w:val="top"/>
          </w:tcPr>
          <w:p>
            <w:r>
              <w:rPr>
                <w:sz w:val="13"/>
              </w:rPr>
              <w:t>vasiliniuc_case_2023</w:t>
            </w:r>
          </w:p>
        </w:tc>
        <w:tc>
          <w:tcPr>
            <w:tcW w:type="dxa" w:w="1648"/>
            <w:vAlign w:val="top"/>
          </w:tcPr>
          <w:p>
            <w:r>
              <w:rPr>
                <w:sz w:val="13"/>
              </w:rPr>
              <w:t>Prompting and conversational strategies</w:t>
            </w:r>
          </w:p>
        </w:tc>
        <w:tc>
          <w:tcPr>
            <w:tcW w:type="dxa" w:w="1648"/>
            <w:vAlign w:val="top"/>
          </w:tcPr>
          <w:p>
            <w:r>
              <w:rPr>
                <w:sz w:val="13"/>
              </w:rPr>
              <w:t>The extensive case study involves 16 participants and 2 technical reviewers, from a software development department and it is designed to understand the impact of using Large Language Models trained for code generation in particular phases of the team, more specifically, technical onboarding and technical stack switch.</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A071</w:t>
            </w:r>
          </w:p>
        </w:tc>
        <w:tc>
          <w:tcPr>
            <w:tcW w:type="dxa" w:w="1648"/>
            <w:vAlign w:val="top"/>
          </w:tcPr>
          <w:p>
            <w:r>
              <w:rPr>
                <w:sz w:val="13"/>
              </w:rPr>
              <w:t>wang_investigating_2024</w:t>
            </w:r>
          </w:p>
        </w:tc>
        <w:tc>
          <w:tcPr>
            <w:tcW w:type="dxa" w:w="1648"/>
            <w:vAlign w:val="top"/>
          </w:tcPr>
          <w:p>
            <w:r>
              <w:rPr>
                <w:sz w:val="13"/>
              </w:rPr>
              <w:t>Learning, novices and education</w:t>
            </w:r>
          </w:p>
        </w:tc>
        <w:tc>
          <w:tcPr>
            <w:tcW w:type="dxa" w:w="1648"/>
            <w:vAlign w:val="top"/>
          </w:tcPr>
          <w:p>
            <w:r>
              <w:rPr>
                <w:sz w:val="13"/>
              </w:rPr>
              <w:t>To address this gap, we conducted Study 1, an interview study with 17 developers who use AI-powered code generation tools in professional or personal settings.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A072</w:t>
            </w:r>
          </w:p>
        </w:tc>
        <w:tc>
          <w:tcPr>
            <w:tcW w:type="dxa" w:w="1648"/>
            <w:vAlign w:val="top"/>
          </w:tcPr>
          <w:p>
            <w:r>
              <w:rPr>
                <w:sz w:val="13"/>
              </w:rPr>
              <w:t>xia_agentless_2024</w:t>
            </w:r>
          </w:p>
        </w:tc>
        <w:tc>
          <w:tcPr>
            <w:tcW w:type="dxa" w:w="1648"/>
            <w:vAlign w:val="top"/>
          </w:tcPr>
          <w:p>
            <w:r>
              <w:rPr>
                <w:sz w:val="13"/>
              </w:rPr>
              <w:t>Prompting and conversational strategies</w:t>
            </w:r>
          </w:p>
        </w:tc>
        <w:tc>
          <w:tcPr>
            <w:tcW w:type="dxa" w:w="1648"/>
            <w:vAlign w:val="top"/>
          </w:tcPr>
          <w:p>
            <w:r>
              <w:rPr>
                <w:sz w:val="13"/>
              </w:rPr>
              <w:t>Our results on the popular SWE-bench Lite benchmark show that surprisingly the simplistic Agentless is able to achieve both the highest performance (27.33%) and lowest cost (\$0.34) compared with all existing open-source software agents!</w:t>
            </w:r>
          </w:p>
        </w:tc>
        <w:tc>
          <w:tcPr>
            <w:tcW w:type="dxa" w:w="1648"/>
            <w:vAlign w:val="top"/>
          </w:tcPr>
          <w:p>
            <w:r>
              <w:rPr>
                <w:sz w:val="13"/>
              </w:rPr>
              <w:t>percentage</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A073</w:t>
            </w:r>
          </w:p>
        </w:tc>
        <w:tc>
          <w:tcPr>
            <w:tcW w:type="dxa" w:w="1648"/>
            <w:vAlign w:val="top"/>
          </w:tcPr>
          <w:p>
            <w:r>
              <w:rPr>
                <w:sz w:val="13"/>
              </w:rPr>
              <w:t>xia_agentless_2024</w:t>
            </w:r>
          </w:p>
        </w:tc>
        <w:tc>
          <w:tcPr>
            <w:tcW w:type="dxa" w:w="1648"/>
            <w:vAlign w:val="top"/>
          </w:tcPr>
          <w:p>
            <w:r>
              <w:rPr>
                <w:sz w:val="13"/>
              </w:rPr>
              <w:t>Learning, novices and education</w:t>
            </w:r>
          </w:p>
        </w:tc>
        <w:tc>
          <w:tcPr>
            <w:tcW w:type="dxa" w:w="1648"/>
            <w:vAlign w:val="top"/>
          </w:tcPr>
          <w:p>
            <w:r>
              <w:rPr>
                <w:sz w:val="13"/>
              </w:rPr>
              <w:t>We hope Agentless will help reset the baseline, starting point, and horizon for autonomous software agents, and inspire future work along this crucial direction.</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A074</w:t>
            </w:r>
          </w:p>
        </w:tc>
        <w:tc>
          <w:tcPr>
            <w:tcW w:type="dxa" w:w="1648"/>
            <w:vAlign w:val="top"/>
          </w:tcPr>
          <w:p>
            <w:r>
              <w:rPr>
                <w:sz w:val="13"/>
              </w:rPr>
              <w:t>yang_cref_2024</w:t>
            </w:r>
          </w:p>
        </w:tc>
        <w:tc>
          <w:tcPr>
            <w:tcW w:type="dxa" w:w="1648"/>
            <w:vAlign w:val="top"/>
          </w:tcPr>
          <w:p>
            <w:r>
              <w:rPr>
                <w:sz w:val="13"/>
              </w:rPr>
              <w:t>Trust, verification and reliance</w:t>
            </w:r>
          </w:p>
        </w:tc>
        <w:tc>
          <w:tcPr>
            <w:tcW w:type="dxa" w:w="1648"/>
            <w:vAlign w:val="top"/>
          </w:tcPr>
          <w:p>
            <w:r>
              <w:rPr>
                <w:sz w:val="13"/>
              </w:rPr>
              <w:t>To evaluate LLMs' realistic repair capabilities, (1) we introduce an extensive, non-crawled benchmark, referred to as TutorCode, comprising 1,239 C++ defect codes and associated information such as tutor guidance, solution description, failing test cases, and the corrected code.</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A075</w:t>
            </w:r>
          </w:p>
        </w:tc>
        <w:tc>
          <w:tcPr>
            <w:tcW w:type="dxa" w:w="1648"/>
            <w:vAlign w:val="top"/>
          </w:tcPr>
          <w:p>
            <w:r>
              <w:rPr>
                <w:sz w:val="13"/>
              </w:rPr>
              <w:t>yang_cref_2024</w:t>
            </w:r>
          </w:p>
        </w:tc>
        <w:tc>
          <w:tcPr>
            <w:tcW w:type="dxa" w:w="1648"/>
            <w:vAlign w:val="top"/>
          </w:tcPr>
          <w:p>
            <w:r>
              <w:rPr>
                <w:sz w:val="13"/>
              </w:rPr>
              <w:t>Prompting and conversational strategies</w:t>
            </w:r>
          </w:p>
        </w:tc>
        <w:tc>
          <w:tcPr>
            <w:tcW w:type="dxa" w:w="1648"/>
            <w:vAlign w:val="top"/>
          </w:tcPr>
          <w:p>
            <w:r>
              <w:rPr>
                <w:sz w:val="13"/>
              </w:rPr>
              <w:t>The successful application of CREF in a real-world educational setting demonstrates its effectiveness in reducing tutors' workload and improving students' learning experience, while also showcasing its promise for facilitating other software engineering tasks, such as code review.</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r>
        <w:tc>
          <w:tcPr>
            <w:tcW w:type="dxa" w:w="1648"/>
            <w:vAlign w:val="top"/>
          </w:tcPr>
          <w:p>
            <w:r>
              <w:rPr>
                <w:sz w:val="13"/>
              </w:rPr>
              <w:t>A076</w:t>
            </w:r>
          </w:p>
        </w:tc>
        <w:tc>
          <w:tcPr>
            <w:tcW w:type="dxa" w:w="1648"/>
            <w:vAlign w:val="top"/>
          </w:tcPr>
          <w:p>
            <w:r>
              <w:rPr>
                <w:sz w:val="13"/>
              </w:rPr>
              <w:t>yin_comprehensive_2025</w:t>
            </w:r>
          </w:p>
        </w:tc>
        <w:tc>
          <w:tcPr>
            <w:tcW w:type="dxa" w:w="1648"/>
            <w:vAlign w:val="top"/>
          </w:tcPr>
          <w:p>
            <w:r>
              <w:rPr>
                <w:sz w:val="13"/>
              </w:rPr>
              <w:t>User experience and perceived usefulness</w:t>
            </w:r>
          </w:p>
        </w:tc>
        <w:tc>
          <w:tcPr>
            <w:tcW w:type="dxa" w:w="1648"/>
            <w:vAlign w:val="top"/>
          </w:tcPr>
          <w:p>
            <w:r>
              <w:rPr>
                <w:sz w:val="13"/>
              </w:rPr>
              <w:t>Furthermore, we conduct an in-depth cross-analysis of the relationship between effectiveness and efficiency, exploring the underlying reasons behind their interplay.</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A077</w:t>
            </w:r>
          </w:p>
        </w:tc>
        <w:tc>
          <w:tcPr>
            <w:tcW w:type="dxa" w:w="1648"/>
            <w:vAlign w:val="top"/>
          </w:tcPr>
          <w:p>
            <w:r>
              <w:rPr>
                <w:sz w:val="13"/>
              </w:rPr>
              <w:t>yu_evaluating_2026</w:t>
            </w:r>
          </w:p>
        </w:tc>
        <w:tc>
          <w:tcPr>
            <w:tcW w:type="dxa" w:w="1648"/>
            <w:vAlign w:val="top"/>
          </w:tcPr>
          <w:p>
            <w:r>
              <w:rPr>
                <w:sz w:val="13"/>
              </w:rPr>
              <w:t>Collaborative development and social sharing</w:t>
            </w:r>
          </w:p>
        </w:tc>
        <w:tc>
          <w:tcPr>
            <w:tcW w:type="dxa" w:w="1648"/>
            <w:vAlign w:val="top"/>
          </w:tcPr>
          <w:p>
            <w:r>
              <w:rPr>
                <w:sz w:val="13"/>
              </w:rPr>
              <w:t>Data were collected through three workshops and 23 semi-structured interviews with industrial practitioners.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A078</w:t>
            </w:r>
          </w:p>
        </w:tc>
        <w:tc>
          <w:tcPr>
            <w:tcW w:type="dxa" w:w="1648"/>
            <w:vAlign w:val="top"/>
          </w:tcPr>
          <w:p>
            <w:r>
              <w:rPr>
                <w:sz w:val="13"/>
              </w:rPr>
              <w:t>zacharias_developers_2026</w:t>
            </w:r>
          </w:p>
        </w:tc>
        <w:tc>
          <w:tcPr>
            <w:tcW w:type="dxa" w:w="1648"/>
            <w:vAlign w:val="top"/>
          </w:tcPr>
          <w:p>
            <w:r>
              <w:rPr>
                <w:sz w:val="13"/>
              </w:rPr>
              <w:t>Prompting and conversational strategies</w:t>
            </w:r>
          </w:p>
        </w:tc>
        <w:tc>
          <w:tcPr>
            <w:tcW w:type="dxa" w:w="1648"/>
            <w:vAlign w:val="top"/>
          </w:tcPr>
          <w:p>
            <w:r>
              <w:rPr>
                <w:sz w:val="13"/>
              </w:rPr>
              <w:t>In this study, 30 expert interviews were conducted to examine the sociotechnical impact of GenAI from the perspective of software development practitioners.</w:t>
            </w:r>
          </w:p>
        </w:tc>
        <w:tc>
          <w:tcPr>
            <w:tcW w:type="dxa" w:w="1648"/>
            <w:vAlign w:val="top"/>
          </w:tcPr>
          <w:p>
            <w:r>
              <w:rPr>
                <w:sz w:val="13"/>
              </w:rPr>
              <w:t>rate / count</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A079</w:t>
            </w:r>
          </w:p>
        </w:tc>
        <w:tc>
          <w:tcPr>
            <w:tcW w:type="dxa" w:w="1648"/>
            <w:vAlign w:val="top"/>
          </w:tcPr>
          <w:p>
            <w:r>
              <w:rPr>
                <w:sz w:val="13"/>
              </w:rPr>
              <w:t>zhang_autocoderover_2024</w:t>
            </w:r>
          </w:p>
        </w:tc>
        <w:tc>
          <w:tcPr>
            <w:tcW w:type="dxa" w:w="1648"/>
            <w:vAlign w:val="top"/>
          </w:tcPr>
          <w:p>
            <w:r>
              <w:rPr>
                <w:sz w:val="13"/>
              </w:rPr>
              <w:t>Collaborative development and social sharing</w:t>
            </w:r>
          </w:p>
        </w:tc>
        <w:tc>
          <w:tcPr>
            <w:tcW w:type="dxa" w:w="1648"/>
            <w:vAlign w:val="top"/>
          </w:tcPr>
          <w:p>
            <w:r>
              <w:rPr>
                <w:sz w:val="13"/>
              </w:rPr>
              <w:t>Experiments on the recently proposed SWE-bench-lite (300 real-life Github issues) show increased efficacy in solving Github issues (19\% on SWE-bench-lite), which is higher than the efficacy of the recently reported Swe-agent.</w:t>
            </w:r>
          </w:p>
        </w:tc>
        <w:tc>
          <w:tcPr>
            <w:tcW w:type="dxa" w:w="1648"/>
            <w:vAlign w:val="top"/>
          </w:tcPr>
          <w:p>
            <w:r>
              <w:rPr>
                <w:sz w:val="13"/>
              </w:rPr>
              <w:t>percentage</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Results/Findings or Evaluation section, PDF body (page check required)</w:t>
            </w:r>
          </w:p>
        </w:tc>
        <w:tc>
          <w:tcPr>
            <w:tcW w:type="dxa" w:w="1648"/>
            <w:vAlign w:val="top"/>
          </w:tcPr>
          <w:p>
            <w:r>
              <w:rPr>
                <w:sz w:val="13"/>
              </w:rPr>
              <w:t>Extracted from PDF text and cross-checked against CSV abstract/notes; verify exact pagination in source PDF.</w:t>
            </w:r>
          </w:p>
        </w:tc>
      </w:tr>
      <w:tr>
        <w:tc>
          <w:tcPr>
            <w:tcW w:type="dxa" w:w="1648"/>
            <w:vAlign w:val="top"/>
          </w:tcPr>
          <w:p>
            <w:r>
              <w:rPr>
                <w:sz w:val="13"/>
              </w:rPr>
              <w:t>A080</w:t>
            </w:r>
          </w:p>
        </w:tc>
        <w:tc>
          <w:tcPr>
            <w:tcW w:type="dxa" w:w="1648"/>
            <w:vAlign w:val="top"/>
          </w:tcPr>
          <w:p>
            <w:r>
              <w:rPr>
                <w:sz w:val="13"/>
              </w:rPr>
              <w:t>zhang_autocoderover_2024</w:t>
            </w:r>
          </w:p>
        </w:tc>
        <w:tc>
          <w:tcPr>
            <w:tcW w:type="dxa" w:w="1648"/>
            <w:vAlign w:val="top"/>
          </w:tcPr>
          <w:p>
            <w:r>
              <w:rPr>
                <w:sz w:val="13"/>
              </w:rPr>
              <w:t>Accessibility and inclusive interaction</w:t>
            </w:r>
          </w:p>
        </w:tc>
        <w:tc>
          <w:tcPr>
            <w:tcW w:type="dxa" w:w="1648"/>
            <w:vAlign w:val="top"/>
          </w:tcPr>
          <w:p>
            <w:r>
              <w:rPr>
                <w:sz w:val="13"/>
              </w:rPr>
              <w:t>We posit that our workflow enables autonomous software engineering, where, in future, auto-generated code from LLMs can be autonomously improved.</w:t>
            </w:r>
          </w:p>
        </w:tc>
        <w:tc>
          <w:tcPr>
            <w:tcW w:type="dxa" w:w="1648"/>
            <w:vAlign w:val="top"/>
          </w:tcPr>
          <w:p>
            <w:r>
              <w:rPr>
                <w:sz w:val="13"/>
              </w:rPr>
              <w:t>qualitative finding</w:t>
            </w:r>
          </w:p>
        </w:tc>
        <w:tc>
          <w:tcPr>
            <w:tcW w:type="dxa" w:w="1648"/>
            <w:vAlign w:val="top"/>
          </w:tcPr>
          <w:p>
            <w:r>
              <w:rPr>
                <w:sz w:val="13"/>
              </w:rPr>
              <w:t>neutral</w:t>
            </w:r>
          </w:p>
        </w:tc>
        <w:tc>
          <w:tcPr>
            <w:tcW w:type="dxa" w:w="1648"/>
            <w:vAlign w:val="top"/>
          </w:tcPr>
          <w:p>
            <w:r>
              <w:rPr>
                <w:sz w:val="13"/>
              </w:rPr>
              <w:t>A2</w:t>
            </w:r>
          </w:p>
        </w:tc>
        <w:tc>
          <w:tcPr>
            <w:tcW w:type="dxa" w:w="1648"/>
            <w:vAlign w:val="top"/>
          </w:tcPr>
          <w:p>
            <w:r>
              <w:rPr>
                <w:sz w:val="13"/>
              </w:rPr>
              <w:t>Discussion/Findings section, PDF body (page check required)</w:t>
            </w:r>
          </w:p>
        </w:tc>
        <w:tc>
          <w:tcPr>
            <w:tcW w:type="dxa" w:w="1648"/>
            <w:vAlign w:val="top"/>
          </w:tcPr>
          <w:p>
            <w:r>
              <w:rPr>
                <w:sz w:val="13"/>
              </w:rPr>
              <w:t>Secondary anchor extracted from PDF text/CSV abstract; verify exact pagination.</w:t>
            </w:r>
          </w:p>
        </w:tc>
      </w:tr>
    </w:tbl>
    <w:p>
      <w:r>
        <w:br w:type="page"/>
      </w:r>
    </w:p>
    <w:p>
      <w:pPr>
        <w:pStyle w:val="Heading1"/>
      </w:pPr>
      <w:r>
        <w:t>Descriptive distributions</w:t>
      </w:r>
    </w:p>
    <w:p>
      <w:pPr>
        <w:pStyle w:val="Heading2"/>
      </w:pPr>
      <w:r>
        <w:t>Distribution of anchors by HAI sub-topic</w:t>
      </w:r>
    </w:p>
    <w:tbl>
      <w:tblPr>
        <w:tblStyle w:val="TableGrid"/>
        <w:tblW w:type="auto" w:w="0"/>
        <w:tblLook w:firstColumn="1" w:firstRow="1" w:lastColumn="0" w:lastRow="0" w:noHBand="0" w:noVBand="1" w:val="04A0"/>
      </w:tblPr>
      <w:tblGrid>
        <w:gridCol w:w="7416"/>
        <w:gridCol w:w="7416"/>
      </w:tblGrid>
      <w:tr>
        <w:tc>
          <w:tcPr>
            <w:tcW w:type="dxa" w:w="7416"/>
            <w:vAlign w:val="top"/>
          </w:tcPr>
          <w:p>
            <w:r>
              <w:rPr>
                <w:sz w:val="13"/>
              </w:rPr>
              <w:t>Category</w:t>
            </w:r>
          </w:p>
        </w:tc>
        <w:tc>
          <w:tcPr>
            <w:tcW w:type="dxa" w:w="7416"/>
            <w:vAlign w:val="top"/>
          </w:tcPr>
          <w:p>
            <w:r>
              <w:rPr>
                <w:sz w:val="13"/>
              </w:rPr>
              <w:t>Anchor count</w:t>
            </w:r>
          </w:p>
        </w:tc>
      </w:tr>
      <w:tr>
        <w:tc>
          <w:tcPr>
            <w:tcW w:type="dxa" w:w="7416"/>
            <w:vAlign w:val="top"/>
          </w:tcPr>
          <w:p>
            <w:r>
              <w:rPr>
                <w:sz w:val="13"/>
              </w:rPr>
              <w:t>Learning, novices and education</w:t>
            </w:r>
          </w:p>
        </w:tc>
        <w:tc>
          <w:tcPr>
            <w:tcW w:type="dxa" w:w="7416"/>
            <w:vAlign w:val="top"/>
          </w:tcPr>
          <w:p>
            <w:r>
              <w:rPr>
                <w:sz w:val="13"/>
              </w:rPr>
              <w:t>11</w:t>
            </w:r>
          </w:p>
        </w:tc>
      </w:tr>
      <w:tr>
        <w:tc>
          <w:tcPr>
            <w:tcW w:type="dxa" w:w="7416"/>
            <w:vAlign w:val="top"/>
          </w:tcPr>
          <w:p>
            <w:r>
              <w:rPr>
                <w:sz w:val="13"/>
              </w:rPr>
              <w:t>Interaction patterns and workflow integration</w:t>
            </w:r>
          </w:p>
        </w:tc>
        <w:tc>
          <w:tcPr>
            <w:tcW w:type="dxa" w:w="7416"/>
            <w:vAlign w:val="top"/>
          </w:tcPr>
          <w:p>
            <w:r>
              <w:rPr>
                <w:sz w:val="13"/>
              </w:rPr>
              <w:t>10</w:t>
            </w:r>
          </w:p>
        </w:tc>
      </w:tr>
      <w:tr>
        <w:tc>
          <w:tcPr>
            <w:tcW w:type="dxa" w:w="7416"/>
            <w:vAlign w:val="top"/>
          </w:tcPr>
          <w:p>
            <w:r>
              <w:rPr>
                <w:sz w:val="13"/>
              </w:rPr>
              <w:t>Accessibility and inclusive interaction</w:t>
            </w:r>
          </w:p>
        </w:tc>
        <w:tc>
          <w:tcPr>
            <w:tcW w:type="dxa" w:w="7416"/>
            <w:vAlign w:val="top"/>
          </w:tcPr>
          <w:p>
            <w:r>
              <w:rPr>
                <w:sz w:val="13"/>
              </w:rPr>
              <w:t>10</w:t>
            </w:r>
          </w:p>
        </w:tc>
      </w:tr>
      <w:tr>
        <w:tc>
          <w:tcPr>
            <w:tcW w:type="dxa" w:w="7416"/>
            <w:vAlign w:val="top"/>
          </w:tcPr>
          <w:p>
            <w:r>
              <w:rPr>
                <w:sz w:val="13"/>
              </w:rPr>
              <w:t>Trust, verification and reliance</w:t>
            </w:r>
          </w:p>
        </w:tc>
        <w:tc>
          <w:tcPr>
            <w:tcW w:type="dxa" w:w="7416"/>
            <w:vAlign w:val="top"/>
          </w:tcPr>
          <w:p>
            <w:r>
              <w:rPr>
                <w:sz w:val="13"/>
              </w:rPr>
              <w:t>10</w:t>
            </w:r>
          </w:p>
        </w:tc>
      </w:tr>
      <w:tr>
        <w:tc>
          <w:tcPr>
            <w:tcW w:type="dxa" w:w="7416"/>
            <w:vAlign w:val="top"/>
          </w:tcPr>
          <w:p>
            <w:r>
              <w:rPr>
                <w:sz w:val="13"/>
              </w:rPr>
              <w:t>User experience and perceived usefulness</w:t>
            </w:r>
          </w:p>
        </w:tc>
        <w:tc>
          <w:tcPr>
            <w:tcW w:type="dxa" w:w="7416"/>
            <w:vAlign w:val="top"/>
          </w:tcPr>
          <w:p>
            <w:r>
              <w:rPr>
                <w:sz w:val="13"/>
              </w:rPr>
              <w:t>10</w:t>
            </w:r>
          </w:p>
        </w:tc>
      </w:tr>
      <w:tr>
        <w:tc>
          <w:tcPr>
            <w:tcW w:type="dxa" w:w="7416"/>
            <w:vAlign w:val="top"/>
          </w:tcPr>
          <w:p>
            <w:r>
              <w:rPr>
                <w:sz w:val="13"/>
              </w:rPr>
              <w:t>Prompting and conversational strategies</w:t>
            </w:r>
          </w:p>
        </w:tc>
        <w:tc>
          <w:tcPr>
            <w:tcW w:type="dxa" w:w="7416"/>
            <w:vAlign w:val="top"/>
          </w:tcPr>
          <w:p>
            <w:r>
              <w:rPr>
                <w:sz w:val="13"/>
              </w:rPr>
              <w:t>10</w:t>
            </w:r>
          </w:p>
        </w:tc>
      </w:tr>
      <w:tr>
        <w:tc>
          <w:tcPr>
            <w:tcW w:type="dxa" w:w="7416"/>
            <w:vAlign w:val="top"/>
          </w:tcPr>
          <w:p>
            <w:r>
              <w:rPr>
                <w:sz w:val="13"/>
              </w:rPr>
              <w:t>Collaborative development and social sharing</w:t>
            </w:r>
          </w:p>
        </w:tc>
        <w:tc>
          <w:tcPr>
            <w:tcW w:type="dxa" w:w="7416"/>
            <w:vAlign w:val="top"/>
          </w:tcPr>
          <w:p>
            <w:r>
              <w:rPr>
                <w:sz w:val="13"/>
              </w:rPr>
              <w:t>10</w:t>
            </w:r>
          </w:p>
        </w:tc>
      </w:tr>
      <w:tr>
        <w:tc>
          <w:tcPr>
            <w:tcW w:type="dxa" w:w="7416"/>
            <w:vAlign w:val="top"/>
          </w:tcPr>
          <w:p>
            <w:r>
              <w:rPr>
                <w:sz w:val="13"/>
              </w:rPr>
              <w:t>Robustness to prompt or language variation</w:t>
            </w:r>
          </w:p>
        </w:tc>
        <w:tc>
          <w:tcPr>
            <w:tcW w:type="dxa" w:w="7416"/>
            <w:vAlign w:val="top"/>
          </w:tcPr>
          <w:p>
            <w:r>
              <w:rPr>
                <w:sz w:val="13"/>
              </w:rPr>
              <w:t>9</w:t>
            </w:r>
          </w:p>
        </w:tc>
      </w:tr>
    </w:tbl>
    <w:p>
      <w:pPr>
        <w:pStyle w:val="Heading2"/>
      </w:pPr>
      <w:r>
        <w:t>Distribution by directionality</w:t>
      </w:r>
    </w:p>
    <w:tbl>
      <w:tblPr>
        <w:tblStyle w:val="TableGrid"/>
        <w:tblW w:type="auto" w:w="0"/>
        <w:tblLook w:firstColumn="1" w:firstRow="1" w:lastColumn="0" w:lastRow="0" w:noHBand="0" w:noVBand="1" w:val="04A0"/>
      </w:tblPr>
      <w:tblGrid>
        <w:gridCol w:w="7416"/>
        <w:gridCol w:w="7416"/>
      </w:tblGrid>
      <w:tr>
        <w:tc>
          <w:tcPr>
            <w:tcW w:type="dxa" w:w="7416"/>
            <w:vAlign w:val="top"/>
          </w:tcPr>
          <w:p>
            <w:r>
              <w:rPr>
                <w:sz w:val="13"/>
              </w:rPr>
              <w:t>Category</w:t>
            </w:r>
          </w:p>
        </w:tc>
        <w:tc>
          <w:tcPr>
            <w:tcW w:type="dxa" w:w="7416"/>
            <w:vAlign w:val="top"/>
          </w:tcPr>
          <w:p>
            <w:r>
              <w:rPr>
                <w:sz w:val="13"/>
              </w:rPr>
              <w:t>Anchor count</w:t>
            </w:r>
          </w:p>
        </w:tc>
      </w:tr>
      <w:tr>
        <w:tc>
          <w:tcPr>
            <w:tcW w:type="dxa" w:w="7416"/>
            <w:vAlign w:val="top"/>
          </w:tcPr>
          <w:p>
            <w:r>
              <w:rPr>
                <w:sz w:val="13"/>
              </w:rPr>
              <w:t>neutral</w:t>
            </w:r>
          </w:p>
        </w:tc>
        <w:tc>
          <w:tcPr>
            <w:tcW w:type="dxa" w:w="7416"/>
            <w:vAlign w:val="top"/>
          </w:tcPr>
          <w:p>
            <w:r>
              <w:rPr>
                <w:sz w:val="13"/>
              </w:rPr>
              <w:t>66</w:t>
            </w:r>
          </w:p>
        </w:tc>
      </w:tr>
      <w:tr>
        <w:tc>
          <w:tcPr>
            <w:tcW w:type="dxa" w:w="7416"/>
            <w:vAlign w:val="top"/>
          </w:tcPr>
          <w:p>
            <w:r>
              <w:rPr>
                <w:sz w:val="13"/>
              </w:rPr>
              <w:t>mixed</w:t>
            </w:r>
          </w:p>
        </w:tc>
        <w:tc>
          <w:tcPr>
            <w:tcW w:type="dxa" w:w="7416"/>
            <w:vAlign w:val="top"/>
          </w:tcPr>
          <w:p>
            <w:r>
              <w:rPr>
                <w:sz w:val="13"/>
              </w:rPr>
              <w:t>8</w:t>
            </w:r>
          </w:p>
        </w:tc>
      </w:tr>
      <w:tr>
        <w:tc>
          <w:tcPr>
            <w:tcW w:type="dxa" w:w="7416"/>
            <w:vAlign w:val="top"/>
          </w:tcPr>
          <w:p>
            <w:r>
              <w:rPr>
                <w:sz w:val="13"/>
              </w:rPr>
              <w:t>positive for AI-assisted</w:t>
            </w:r>
          </w:p>
        </w:tc>
        <w:tc>
          <w:tcPr>
            <w:tcW w:type="dxa" w:w="7416"/>
            <w:vAlign w:val="top"/>
          </w:tcPr>
          <w:p>
            <w:r>
              <w:rPr>
                <w:sz w:val="13"/>
              </w:rPr>
              <w:t>6</w:t>
            </w:r>
          </w:p>
        </w:tc>
      </w:tr>
    </w:tbl>
    <w:p>
      <w:pPr>
        <w:pStyle w:val="Heading2"/>
      </w:pPr>
      <w:r>
        <w:t>Top 5 most empirically dense papers</w:t>
      </w:r>
    </w:p>
    <w:tbl>
      <w:tblPr>
        <w:tblStyle w:val="TableGrid"/>
        <w:tblW w:type="auto" w:w="0"/>
        <w:tblLook w:firstColumn="1" w:firstRow="1" w:lastColumn="0" w:lastRow="0" w:noHBand="0" w:noVBand="1" w:val="04A0"/>
      </w:tblPr>
      <w:tblGrid>
        <w:gridCol w:w="7416"/>
        <w:gridCol w:w="7416"/>
      </w:tblGrid>
      <w:tr>
        <w:tc>
          <w:tcPr>
            <w:tcW w:type="dxa" w:w="7416"/>
            <w:vAlign w:val="top"/>
          </w:tcPr>
          <w:p>
            <w:r>
              <w:rPr>
                <w:sz w:val="13"/>
              </w:rPr>
              <w:t>Bibkey</w:t>
            </w:r>
          </w:p>
        </w:tc>
        <w:tc>
          <w:tcPr>
            <w:tcW w:type="dxa" w:w="7416"/>
            <w:vAlign w:val="top"/>
          </w:tcPr>
          <w:p>
            <w:r>
              <w:rPr>
                <w:sz w:val="13"/>
              </w:rPr>
              <w:t>Anchor count</w:t>
            </w:r>
          </w:p>
        </w:tc>
      </w:tr>
      <w:tr>
        <w:tc>
          <w:tcPr>
            <w:tcW w:type="dxa" w:w="7416"/>
            <w:vAlign w:val="top"/>
          </w:tcPr>
          <w:p>
            <w:r>
              <w:rPr>
                <w:sz w:val="13"/>
              </w:rPr>
              <w:t>hyun_experimental_2025</w:t>
            </w:r>
          </w:p>
        </w:tc>
        <w:tc>
          <w:tcPr>
            <w:tcW w:type="dxa" w:w="7416"/>
            <w:vAlign w:val="top"/>
          </w:tcPr>
          <w:p>
            <w:r>
              <w:rPr>
                <w:sz w:val="13"/>
              </w:rPr>
              <w:t>3</w:t>
            </w:r>
          </w:p>
        </w:tc>
      </w:tr>
      <w:tr>
        <w:tc>
          <w:tcPr>
            <w:tcW w:type="dxa" w:w="7416"/>
            <w:vAlign w:val="top"/>
          </w:tcPr>
          <w:p>
            <w:r>
              <w:rPr>
                <w:sz w:val="13"/>
              </w:rPr>
              <w:t>tufano_developers_2026</w:t>
            </w:r>
          </w:p>
        </w:tc>
        <w:tc>
          <w:tcPr>
            <w:tcW w:type="dxa" w:w="7416"/>
            <w:vAlign w:val="top"/>
          </w:tcPr>
          <w:p>
            <w:r>
              <w:rPr>
                <w:sz w:val="13"/>
              </w:rPr>
              <w:t>3</w:t>
            </w:r>
          </w:p>
        </w:tc>
      </w:tr>
      <w:tr>
        <w:tc>
          <w:tcPr>
            <w:tcW w:type="dxa" w:w="7416"/>
            <w:vAlign w:val="top"/>
          </w:tcPr>
          <w:p>
            <w:r>
              <w:rPr>
                <w:sz w:val="13"/>
              </w:rPr>
              <w:t>barke_grounded_2023</w:t>
            </w:r>
          </w:p>
        </w:tc>
        <w:tc>
          <w:tcPr>
            <w:tcW w:type="dxa" w:w="7416"/>
            <w:vAlign w:val="top"/>
          </w:tcPr>
          <w:p>
            <w:r>
              <w:rPr>
                <w:sz w:val="13"/>
              </w:rPr>
              <w:t>2</w:t>
            </w:r>
          </w:p>
        </w:tc>
      </w:tr>
      <w:tr>
        <w:tc>
          <w:tcPr>
            <w:tcW w:type="dxa" w:w="7416"/>
            <w:vAlign w:val="top"/>
          </w:tcPr>
          <w:p>
            <w:r>
              <w:rPr>
                <w:sz w:val="13"/>
              </w:rPr>
              <w:t>cui_productivity_2024</w:t>
            </w:r>
          </w:p>
        </w:tc>
        <w:tc>
          <w:tcPr>
            <w:tcW w:type="dxa" w:w="7416"/>
            <w:vAlign w:val="top"/>
          </w:tcPr>
          <w:p>
            <w:r>
              <w:rPr>
                <w:sz w:val="13"/>
              </w:rPr>
              <w:t>2</w:t>
            </w:r>
          </w:p>
        </w:tc>
      </w:tr>
      <w:tr>
        <w:tc>
          <w:tcPr>
            <w:tcW w:type="dxa" w:w="7416"/>
            <w:vAlign w:val="top"/>
          </w:tcPr>
          <w:p>
            <w:r>
              <w:rPr>
                <w:sz w:val="13"/>
              </w:rPr>
              <w:t>fakhoury_llm-based_2024</w:t>
            </w:r>
          </w:p>
        </w:tc>
        <w:tc>
          <w:tcPr>
            <w:tcW w:type="dxa" w:w="7416"/>
            <w:vAlign w:val="top"/>
          </w:tcPr>
          <w:p>
            <w:r>
              <w:rPr>
                <w:sz w:val="13"/>
              </w:rPr>
              <w:t>2</w:t>
            </w:r>
          </w:p>
        </w:tc>
      </w:tr>
    </w:tbl>
    <w:p>
      <w:pPr>
        <w:pStyle w:val="Heading2"/>
      </w:pPr>
      <w:r>
        <w:t>Identified gaps: sub-topics with fewer than 3 anchors</w:t>
      </w:r>
    </w:p>
    <w:p>
      <w:r>
        <w:t>No sub-topic has fewer than 3 anchors in this extraction.</w:t>
      </w:r>
    </w:p>
    <w:p>
      <w:pPr>
        <w:pStyle w:val="Heading1"/>
      </w:pPr>
      <w:r>
        <w:t>References</w:t>
      </w:r>
    </w:p>
    <w:p>
      <w:r>
        <w:t>[1] Rethinking Code Review Workflows with LLM Assistance: An Empirical Study. Aðalsteinsson, Fannar Steinn; Magnussoú, Björn Borgar; Milicevic, Mislav; Davidsson, Adam Nirving; Cheng, Chih-Hong, 2025. Int. Symp. Empir. Softw. Eng. Meas.. Bibkey: aalsteinsson_rethinking_2025.</w:t>
      </w:r>
    </w:p>
    <w:p>
      <w:r>
        <w:t>[2] Copilot Evaluation Harness: Evaluating LLM-Guided Software Programming. Agarwal, Anisha; Chan, Aaron; Chandel, Shubham; Jang, Jinu; Miller, Shaun; Moghaddam, Roshanak Zilouchian; Mohylevskyy, Yevhen; Sundaresan, Neel; Tufano, Michele, 2024. nan. Bibkey: agarwal_copilot_2024.</w:t>
      </w:r>
    </w:p>
    <w:p>
      <w:r>
        <w:t>[3] Grounded Copilot: How Programmers Interact with Code-Generating Models. Barke, Shraddha; James, Michael B.; Polikarpova, Nadia, 2023. Proceedings of the ACM on Programming Languages. Bibkey: barke_grounded_2023.</w:t>
      </w:r>
    </w:p>
    <w:p>
      <w:r>
        <w:t>[4] Identifying the Factors That Influence Trust in AI Code Completion. Brown, Adam; D'Angelo, Sarah; Murillo, Ambar; Jaspan, Ciera; Green, Collin, 2024. Proceedings of the 1st ACM International Conference on AI-Powered Software. Bibkey: brown_identifying_2024.</w:t>
      </w:r>
    </w:p>
    <w:p>
      <w:r>
        <w:t>[5] The Impact of AI Tool on Engineering at ANZ Bank an Empirical Study on GitHub Copilot within Corporate Environment. Chatterjee, Sayan; Liu, Ching Louis; Rowland, Gareth; Hogarth, Tim, 2024. Software Engineering. Bibkey: chatterjee_impact_2024.</w:t>
      </w:r>
    </w:p>
    <w:p>
      <w:r>
        <w:t>[6] NLPerturbator: Studying the Robustness of Code LLMs to Natural Language Variations. Chen, Junkai; Li, Zhenhao; Hu, Xing; Xia, Xin, 2026. ACM Transactions on Software Engineering and Methodology. Bibkey: chen_nlperturbator_2026.</w:t>
      </w:r>
    </w:p>
    <w:p>
      <w:r>
        <w:t>[7] Automated Code Review In Practice. Cihan, Umut; Haratian, Vahid; İçöz, Arda; Gül, Mert Kaan; Devran, Ömercan; Bayendur, Emircan Furkan; Uçar, Baykal Mehmet; Tüzün, Eray, 2024. nan. Bibkey: cihan_automated_2024.</w:t>
      </w:r>
    </w:p>
    <w:p>
      <w:r>
        <w:t>[8] The Productivity Effects of Generative AI: Evidence from a Field Experiment with GitHub Copilot. Cui, Kevin Zheyuan; Demirer, Mert; Jaffe, Sonia; Musolff, Leon; Peng, Sida; Salz, Tobias, 2024. An MIT Exploration of Generative AI. Bibkey: cui_productivity_2024.</w:t>
      </w:r>
    </w:p>
    <w:p>
      <w:r>
        <w:t>[9] Why Do Developers Engage with ChatGPT in Issue-Tracker? Investigating Usage and Reliance on ChatGPT-Generated Code. Das, Joy Krishan; Mondal, Saikat; Roy, Chanchal K., 2025. 2025 IEEE International Conference on Software Analysis, Evolution and Reengineering (SANER). Bibkey: das_why_2025.</w:t>
      </w:r>
    </w:p>
    <w:p>
      <w:r>
        <w:t>[10] An Industry Case Study on Adoption of AI-based Programming Assistants. Davila, Nicole; Wiese, Igor; Steinmacher, Igor; Lucio Da Silva, Lucas; Kawamoto, Andre; Favaro, Gilson Jose Peres; Nunes, Ingrid, 2024. Proceedings of the 46th International Conference on Software Engineering: Software Engineering in Practice. Bibkey: davila_industry_2024.</w:t>
      </w:r>
    </w:p>
    <w:p>
      <w:r>
        <w:t>[11] Conversing with Copilot: Exploring Prompt Engineering for Solving CS1 Problems Using Natural Language. Denny, Paul; Kumar, Viraj; Giacaman, Nasser, 2023. Proceedings of the 54th ACM Technical Symposium on Computer Science Education V. 1. Bibkey: denny_conversing_2023.</w:t>
      </w:r>
    </w:p>
    <w:p>
      <w:r>
        <w:t>[12] Aligning Offline Metrics and Human Judgments of Value for Code Generation Models. Dibia, Victor; Fourney, Adam; Bansal, Gagan; Poursabzi-Sangdeh, Forough; Liu, Han; Amershi, Saleema, 2023. Findings of the Association for Computational Linguistics: ACL 2023. Bibkey: dibia_aligning_2023.</w:t>
      </w:r>
    </w:p>
    <w:p>
      <w:r>
        <w:t>[13] LLM-based test-driven interactive code generation: User study and empirical evaluation. Fakhoury, Sarah; Naik, Aaditya; Sakkas, Georgios; Chakraborty, Saikat; Lahiri, Shuvendu K., 2024. arXiv.org. Bibkey: fakhoury_llm-based_2024.</w:t>
      </w:r>
    </w:p>
    <w:p>
      <w:r>
        <w:t>[14] The Impact of Generative AI Coding Assistants on Developers Who Are Visually Impaired. Flores-Saviaga, Claudia; Hanrahan, Benjamin V.; Imteyaz, Kashif; Clarke, Steven; Savage, Saiph, 2025. Proceedings of the 2025 CHI Conference on Human Factors in Computing Systems. Bibkey: flores-saviaga_impact_2025.</w:t>
      </w:r>
    </w:p>
    <w:p>
      <w:r>
        <w:t>[15] A Survey of Vibe Coding with Large Language Models. Ge, Yuyao; Mei, Lingrui; Duan, Zenghao; Li, Tianhao; Zheng, Yujia; Wang, Yiwei; Wang, Lexin; Yao, Jiayu; Liu, Tianyu; Cai, Yujun; Bi, Baolong; Guo, Fangda; Guo, Jiafeng; Liu, Shenghua; Cheng, Xueqi, 2025. nan. Bibkey: ge_survey_2025.</w:t>
      </w:r>
    </w:p>
    <w:p>
      <w:r>
        <w:t>[16] Analyzing Developer Use of ChatGPT Generated Code in Open Source GitHub Projects. Grewal, Balreet; Lu, Wentao; Nadi, Sarah; Bezemer, Cor-Paul, 2024. Proceedings of the 21st International Conference on Mining Software Repositories. Bibkey: grewal_analyzing_2024.</w:t>
      </w:r>
    </w:p>
    <w:p>
      <w:r>
        <w:t>[17] An Empirical Study on Developers’ Shared Conversations with ChatGPT in GitHub Pull Requests and Issues. Hao, Huizi; Hasan, Kazi Amit; Qin, Hong; Macedo, Marcos; Tian, Yuan; Ding, Steven H. H.; Hassan, Ahmed E., 2024. Empirical Software Engineering. Bibkey: hao_empirical_2024.</w:t>
      </w:r>
    </w:p>
    <w:p>
      <w:r>
        <w:t>[18] The New Developer: AI Skill Threat, Identity Change &amp; Developer Thriving in the Transition to AI-Assisted Software Development. Hicks, Catherine M.; Lee, Carol S; Foster-Marks, Kristen, 2024. nan. Bibkey: hicks_new_2024.</w:t>
      </w:r>
    </w:p>
    <w:p>
      <w:r>
        <w:t>[19] Experimental Analysis of Productive Interaction Strategy with ChatGPT: User Study on Function and Project-level Code Generation Tasks. Hyun, Sangwon; Kim, Hyunjun; Jang, Jinhyuk; Choi, Hyojin; Babar, M. Ali, 2025. nan. Bibkey: hyun_experimental_2025.</w:t>
      </w:r>
    </w:p>
    <w:p>
      <w:r>
        <w:t>[20] Beyond Code Generation: An Observational Study of ChatGPT Usage in Software Engineering Practice. Khojah, Ranim; Mohamad, Mazen; Leitner, Philipp; Neto, Francisco Gomes de Oliveira, 2024. arXiv.org. Bibkey: khojah_beyond_2024.</w:t>
      </w:r>
    </w:p>
    <w:p>
      <w:r>
        <w:t>[21] CodeAssistBench (CAB): Dataset &amp; Benchmarking for Multi-turn Chat-Based Code Assistance. Kim, Myeongsoo; Garg, Shweta; Ray, Baishakhi; Kumar, Varun; Deoras, Anoop, 2025. Advances in Neural Information Processing Systems. Bibkey: kim_codeassistbench_2025.</w:t>
      </w:r>
    </w:p>
    <w:p>
      <w:r>
        <w:t>[22] Using AI Assistants in Software Development: A Qualitative Study on Security Practices and Concerns. Klemmer, Jan H.; Horstmann, Stefan Albert; Patnaik, Nikhil; Ludden, Cordelia; Burton, Cordell; Powers, Carson; Massacci, Fabio; Rahman, Akond; Votipka, Daniel; Lipford, Heather Richter; Rashid, Awais; Naiakshina, Alena; Fahl, Sascha, 2024. Proceedings of the 2024 on ACM SIGSAC Conference on Computer and Communications Security. Bibkey: klemmer_using_2024.</w:t>
      </w:r>
    </w:p>
    <w:p>
      <w:r>
        <w:t>[23] Demystifying Memorization in LLM-Based Program Repair via a General Hypothesis Testing Framework. Kong, Jiaolong; Xie, Xiaofei; Liu, Shangqing, 2025. Proceedings of the ACM on Software Engineering. Bibkey: kong_demystifying_2025.</w:t>
      </w:r>
    </w:p>
    <w:p>
      <w:r>
        <w:t>[24] Can Developers Prompt? A Controlled Experiment for Code Documentation Generation. Kruse, Hans-Alexander; Puhlfürß, Tim; Maalej, Walid, 2024. 2024 IEEE International Conference on Software Maintenance and Evolution (ICSME). Bibkey: kruse_can_2024.</w:t>
      </w:r>
    </w:p>
    <w:p>
      <w:r>
        <w:t>[25] When Prompts Go Wrong: Evaluating Code Model Robustness to Ambiguous, Contradictory, and Incomplete Task Descriptions. Larbi, Maya; Akli, Amal; Papadakis, Mike; Bouyousfi, Rihab; Cordy, Maxime; Sarro, Federica; Traon, Yves Le, 2025. nan. Bibkey: larbi_when_2025.</w:t>
      </w:r>
    </w:p>
    <w:p>
      <w:r>
        <w:t>[26] Refining Critical Thinking in LLM Code Generation: A Faulty Premise-based Evaluation Framework. Li, Jialin; Li, Jinzhe; Li, Gengxu; Chang, Yi; Wu, Yuan, 2025. nan. Bibkey: li_refining_2025.</w:t>
      </w:r>
    </w:p>
    <w:p>
      <w:r>
        <w:t>[27] E2Edev: Benchmarking Large Language Models in End-to-End Software Development Task. Liu, Jingyao; Huang, Chen; Guan, Zhizhao; Lei, Wenqiang; Deng, Yang, 2026. nan. Bibkey: liu_e2edev_2026.</w:t>
      </w:r>
    </w:p>
    <w:p>
      <w:r>
        <w:t>[28] Will Your Next Pair Programming Partner Be Human? An Empirical Evaluation of Generative AI as a Collaborative Teammate in a Semester-Long Classroom Setting. Lyu, Wenhan; Wang, Yimeng; Sun, Yifan; Zhang, Yixuan, 2025. Proceedings of the Twelfth ACM Conference on Learning @ Scale. Bibkey: lyu_will_2025.</w:t>
      </w:r>
    </w:p>
    <w:p>
      <w:r>
        <w:t>[29] An Assessment of Large Language Models for OpenMP-based Code Parallelization: A User Perspective. Mišić, Marko; Dodović, Matija, 2024. Journal of Big Data. Bibkey: misic_assessment_2024.</w:t>
      </w:r>
    </w:p>
    <w:p>
      <w:r>
        <w:t>[30] Reading Between the Lines: Modeling User Behavior and Costs in AI-Assisted Programming. Mozannar, Hussein; Bansal, Gagan; Fourney, Adam; Horvitz, Eric, 2024. Proceedings of the CHI Conference on Human Factors in Computing Systems. Bibkey: mozannar_reading_2024.</w:t>
      </w:r>
    </w:p>
    <w:p>
      <w:r>
        <w:t>[31] Understanding and Supporting How Developers Prompt for LLM-powered Code Editing in Practice. Nam, Daye; Omran, Ahmed; Murillo, Ambar; Thakur, Saksham; Araujo, Abner; Blistein, Marcel; Frömmgen, Alexander; Hellendoorn, Vincent; Chandra, Satish, 2025. nan. Bibkey: nam_understanding_2025.</w:t>
      </w:r>
    </w:p>
    <w:p>
      <w:r>
        <w:t>[32] An Empirical Evaluation of GitHub Copilot's Code Suggestions. Nguyen, Nhan; Nadi, Sarah, 2022. Proceedings of the 19th International Conference on Mining Software Repositories. Bibkey: nguyen_empirical_2022.</w:t>
      </w:r>
    </w:p>
    <w:p>
      <w:r>
        <w:t>[33] Is Self-Repair A Silver Bullet for Code Generation?. Olausson, Theo X; Inala, Jeevana Priya; Wang, Chenglong; Gao, Jianfeng; Solar-Lezama, Armando, 2024. The Twelfth International Conference on Learning Representations (ICLR 2024). Bibkey: olausson_is_2024.</w:t>
      </w:r>
    </w:p>
    <w:p>
      <w:r>
        <w:t>[34] Impact of an LLM-based Review Assistant in Practice: A Mixed Open-/Closed-source Case Study. Olewicki, Doriane; Da Silva, Leuson; Sghaier, Oussama Ben; Mujahid, Suhaib; Amini, Arezou; Mah, Benjamin; Castelluccio, Marco; Habchi, Sarra; Khomh, Foutse; Adams, Bram, 2026. IEEE Transactions on Software Engineering. Bibkey: olewicki_impact_2026.</w:t>
      </w:r>
    </w:p>
    <w:p>
      <w:r>
        <w:t>[35] Prompting in Practice: Investigating Software Practitioners' Use of Generative AI Tools. Otten, Daniel; Stalnaker, Trevor; Wintersgill, Nathan; Chaparro, Oscar; Poshyvanyk, Denys, 2026. nan. Bibkey: otten_prompting_2026.</w:t>
      </w:r>
    </w:p>
    <w:p>
      <w:r>
        <w:t>[36] Continuance Use of AI Coding Assistants Among South Korean Industry Developers: A Survey Case Study with Large Language Models. Park, Eunil, 2025. Empirical Software Engineering. Bibkey: park_continuance_2025.</w:t>
      </w:r>
    </w:p>
    <w:p>
      <w:r>
        <w:t>[37] Do Users Write More Insecure Code with AI Assistants?. Perry, Neil; Srivastava, Megha; Kumar, Deepak; Boneh, Dan, 2023. Proceedings of the 2023 ACM SIGSAC Conference on Computer and Communications Security. Bibkey: perry_users_2023.</w:t>
      </w:r>
    </w:p>
    <w:p>
      <w:r>
        <w:t>[38] “It’s Weird That it Knows What I Want”: Usability and Interactions with Copilot for Novice Programmers. Prather, James; Reeves, Brent N.; Denny, Paul; Becker, Brett A.; Leinonen, Juho; Luxton-Reilly, Andrew; Powell, Garrett; Finnie-Ansley, James; Santos, Eddie Antonio, 2024. ACM Transactions on Computer-Human Interaction. Bibkey: prather_its_2024.</w:t>
      </w:r>
    </w:p>
    <w:p>
      <w:r>
        <w:t>[39] Assistance or Disruption? Exploring and Evaluating the Design and Trade-offs of Proactive AI Programming Support. Pu, Kevin; Lazaro, Daniel; Arawjo, Ian; Xia, Haijun; Grossman, Tovi; Chen, Yan, 2025. nan. Bibkey: pu_assistance_2025.</w:t>
      </w:r>
    </w:p>
    <w:p>
      <w:r>
        <w:t>[40] Comprehension-Performance Gap in GenAI-Assisted Brownfield Programming: A Replication and Extension. Qiao, Yunhan; Hundhausen, Christopher; Haque, Summit; Shihab, Md Istiak Hossain, 2025. nan. Bibkey: qiao_comprehension-performance_2025.</w:t>
      </w:r>
    </w:p>
    <w:p>
      <w:r>
        <w:t>[41] Model-Assisted and Human-Guided: Perceptions and Practices of Software Professionals Using LLMs for Coding. Santos, Italo; Magalhaes, Cleyton; Santos, Ronnie de Souza, 2025. nan. Bibkey: santos_model-assisted_2025.</w:t>
      </w:r>
    </w:p>
    <w:p>
      <w:r>
        <w:t>[42] Can Generative Pre-trained Transformers (GPT) Pass Assessments in Higher Education Programming Courses?. Savelka, Jaromir; Agarwal, Arav; Bogart, Christopher; Song, Yifan; Sakr, Majd, 2023. Proceedings of the 2023 Conference on Innovation and Technology in Computer Science Education V. 1. Bibkey: savelka_can_2023.</w:t>
      </w:r>
    </w:p>
    <w:p>
      <w:r>
        <w:t>[43] Students' Use of GitHub Copilot for Working with Large Code Bases. Shah, Anshul; Chernova, Anya; Tomson, Elena; Porter, Leo; Griswold, William G.; Soosai Raj, Adalbert Gerald, 2025. Proceedings of the 56th ACM Technical Symposium on Computer Science Education V. 1. Bibkey: shah_students_2025.</w:t>
      </w:r>
    </w:p>
    <w:p>
      <w:r>
        <w:t>[44] The Effects of GitHub Copilot on Computing Students' Programming Effectiveness, Efficiency, and Processes in Brownfield Coding Tasks. Shihab, Md Istiak Hossain; Hundhausen, Christopher; Tariq, Ahsun; Haque, Summit; Qiao, Yunhan; Mulanda, Brian Wise, 2025. Proceedings of the 2025 ACM Conference on International Computing Education Research V.1. Bibkey: shihab_effects_2025.</w:t>
      </w:r>
    </w:p>
    <w:p>
      <w:r>
        <w:t>[45] The Impact of Generative AI on Collaborative Open-Source Software Development: Evidence from GitHub Copilot. Song, Fangchen; Agarwal, Ashish; Wen, Wen, 2024. SSRN Electronic Journal. Bibkey: song_impact_2024.</w:t>
      </w:r>
    </w:p>
    <w:p>
      <w:r>
        <w:t>[46] Generative AI and Developer Workflows: How GitHub Copilot and ChatGPT Influence Solo and Pair Programming. Stray, Viktoria; Moe, Nils Brede; Ganeshan, Nivethika; Kobbenes, Simon, 2025. nan. Bibkey: stray_generative_2025.</w:t>
      </w:r>
    </w:p>
    <w:p>
      <w:r>
        <w:t>[47] Human-AI Collaboration in Software Development: A Mixed-Methods Study of Developers’ Use of GitHub Copilot and ChatGPT. Stray, Viktoria; Barbala, Astri; Wivestad, Viggo Tellefsen, 2025. Proceedings of the 33rd ACM International Conference on the Foundations of Software Engineering. Bibkey: stray_human-ai_2025.</w:t>
      </w:r>
    </w:p>
    <w:p>
      <w:r>
        <w:t>[48] Developers and Generative AI: A Study of Self-Admitted Usage in Open Source Projects. Tufano, Rosalia; Pepe, Federica; Zampetti, Fiorella; Mastropaolo, Antonio; Dabić, Ozren; Di Penta, Massimiliano; Bavota, Gabriele, 2026. Empirical Software Engineering. Bibkey: tufano_developers_2026.</w:t>
      </w:r>
    </w:p>
    <w:p>
      <w:r>
        <w:t>[49] Human-AI Pair Programming: Evaluating Trust, Efficiency, and Defect Incidence. Urs, Arjun Deshraje, 2025. nan. Bibkey: urs_human-ai_2025.</w:t>
      </w:r>
    </w:p>
    <w:p>
      <w:r>
        <w:t>[50] Case Study: Using AI-Assisted Code Generation In Mobile Teams. Vasiliniuc, Mircea-Serban; Groza, Adrian, 2023. nan. Bibkey: vasiliniuc_case_2023.</w:t>
      </w:r>
    </w:p>
    <w:p>
      <w:r>
        <w:t>[51] Investigating and Designing for Trust in AI-powered Code Generation Tools. Wang, Ruotong; Cheng, Ruijia; Ford, Denae; Zimmermann, Thomas, 2024. The 2024 ACM Conference on Fairness, Accountability, and Transparency. Bibkey: wang_investigating_2024.</w:t>
      </w:r>
    </w:p>
    <w:p>
      <w:r>
        <w:t>[52] Agentless: Demystifying LLM-based Software Engineering Agents. Xia, Chunqiu Steven; Deng, Yinlin; Dunn, Stanley; Zhang, Lingming, 2024. nan. Bibkey: xia_agentless_2024.</w:t>
      </w:r>
    </w:p>
    <w:p>
      <w:r>
        <w:t>[53] CREF: An LLM-Based Conversational Software Repair Framework for Programming Tutors. Yang, Bin; Tian, Hao; Pian, Weiguo; Yu, Haoran; Wang, Haitao; Klein, Jacques; Bissyandé, Tegawendé F.; Jin, Shiqi, 2024. nan. Bibkey: yang_cref_2024.</w:t>
      </w:r>
    </w:p>
    <w:p>
      <w:r>
        <w:t>[54] A Comprehensive Empirical Evaluation of Agent Frameworks on Code-centric Software Engineering Tasks. Yin, Zhuowen; Gao, Cuifeng; Fan, Chunsong; Yang, Wenzhang; Xue, Yinxing; Zhang, Lijun, 2025. nan. Bibkey: yin_comprehensive_2025.</w:t>
      </w:r>
    </w:p>
    <w:p>
      <w:r>
        <w:t>[55] Evaluating the Quality of GenAI Applications in Software Engineering: A Multi-case Study. Yu, Liang; Alégroth, Emil; Chatzipetrou, Panagiota; Gorschek, Tony, 2026. Empirical Software Engineering. Bibkey: yu_evaluating_2026.</w:t>
      </w:r>
    </w:p>
    <w:p>
      <w:r>
        <w:t>[56] Developers’ Dilemma: Opportunities and Pitfalls of Generative AI for Software Development. Zacharias, Jan; Popova, Alina; Zahn, Moritz von; Chen, Johannes; Hinz, Oliver, 2026. Business and Information Systems Engineering. Bibkey: zacharias_developers_2026.</w:t>
      </w:r>
    </w:p>
    <w:p>
      <w:r>
        <w:t>[57] AutoCodeRover: Autonomous Program Improvement. Zhang, Yuntong; Ruan, Haifeng; Fan, Zhiyu; Roychoudhury, Abhik, 2024. Proceedings of the 33rd ACM SIGSOFT International Symposium on Software Testing and Analysis. Bibkey: zhang_autocoderover_2024.</w:t>
      </w:r>
    </w:p>
    <w:sectPr w:rsidR="00FC693F" w:rsidRPr="0006063C" w:rsidSect="00034616">
      <w:pgSz w:w="15840" w:h="12240"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