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1.1 — NB3 HAI CORE: Prompting Dynamics and Conversational Strategies</w:t>
      </w:r>
    </w:p>
    <w:p>
      <w:pPr>
        <w:jc w:val="left"/>
      </w:pPr>
      <w:r>
        <w:t>Scope note: evidence is restricted to papers whose bibkeys were verified literally in NB3_HAI_CORE.bib and whose bibliographic metadata were resolved through the uploaded HAI CORE CSV/XLSX materials. The matrix records the extraction anchor used for each narrative claim.</w:t>
      </w:r>
    </w:p>
    <w:p>
      <w:pPr>
        <w:pStyle w:val="Heading1"/>
      </w:pPr>
      <w:r>
        <w:t>1. Evidence matrix</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tcPr>
          <w:p>
            <w:r>
              <w:rPr>
                <w:sz w:val="14"/>
              </w:rPr>
              <w:t>Bibkey</w:t>
            </w:r>
          </w:p>
        </w:tc>
        <w:tc>
          <w:tcPr>
            <w:tcW w:type="dxa" w:w="1481"/>
            <w:vAlign w:val="top"/>
          </w:tcPr>
          <w:p>
            <w:r>
              <w:rPr>
                <w:sz w:val="14"/>
              </w:rPr>
              <w:t>Year</w:t>
            </w:r>
          </w:p>
        </w:tc>
        <w:tc>
          <w:tcPr>
            <w:tcW w:type="dxa" w:w="1481"/>
            <w:vAlign w:val="top"/>
          </w:tcPr>
          <w:p>
            <w:r>
              <w:rPr>
                <w:sz w:val="14"/>
              </w:rPr>
              <w:t>Quality tier</w:t>
            </w:r>
          </w:p>
        </w:tc>
        <w:tc>
          <w:tcPr>
            <w:tcW w:type="dxa" w:w="1481"/>
            <w:vAlign w:val="top"/>
          </w:tcPr>
          <w:p>
            <w:r>
              <w:rPr>
                <w:sz w:val="14"/>
              </w:rPr>
              <w:t>Key finding (own words)</w:t>
            </w:r>
          </w:p>
        </w:tc>
        <w:tc>
          <w:tcPr>
            <w:tcW w:type="dxa" w:w="1481"/>
            <w:vAlign w:val="top"/>
          </w:tcPr>
          <w:p>
            <w:r>
              <w:rPr>
                <w:sz w:val="14"/>
              </w:rPr>
              <w:t>Metric/value</w:t>
            </w:r>
          </w:p>
        </w:tc>
        <w:tc>
          <w:tcPr>
            <w:tcW w:type="dxa" w:w="1481"/>
            <w:vAlign w:val="top"/>
          </w:tcPr>
          <w:p>
            <w:r>
              <w:rPr>
                <w:sz w:val="14"/>
              </w:rPr>
              <w:t>Directionality</w:t>
            </w:r>
          </w:p>
        </w:tc>
        <w:tc>
          <w:tcPr>
            <w:tcW w:type="dxa" w:w="1481"/>
            <w:vAlign w:val="top"/>
          </w:tcPr>
          <w:p>
            <w:r>
              <w:rPr>
                <w:sz w:val="14"/>
              </w:rPr>
              <w:t>PDF section + page</w:t>
            </w:r>
          </w:p>
        </w:tc>
      </w:tr>
      <w:tr>
        <w:tc>
          <w:tcPr>
            <w:tcW w:type="dxa" w:w="1481"/>
            <w:vAlign w:val="top"/>
          </w:tcPr>
          <w:p>
            <w:r>
              <w:rPr>
                <w:sz w:val="14"/>
              </w:rPr>
              <w:t>nam_understanding_2025</w:t>
            </w:r>
          </w:p>
        </w:tc>
        <w:tc>
          <w:tcPr>
            <w:tcW w:type="dxa" w:w="1481"/>
            <w:vAlign w:val="top"/>
          </w:tcPr>
          <w:p>
            <w:r>
              <w:rPr>
                <w:sz w:val="14"/>
              </w:rPr>
              <w:t>2025</w:t>
            </w:r>
          </w:p>
        </w:tc>
        <w:tc>
          <w:tcPr>
            <w:tcW w:type="dxa" w:w="1481"/>
            <w:vAlign w:val="top"/>
          </w:tcPr>
          <w:p>
            <w:r>
              <w:rPr>
                <w:sz w:val="14"/>
              </w:rPr>
              <w:t>A1</w:t>
            </w:r>
          </w:p>
        </w:tc>
        <w:tc>
          <w:tcPr>
            <w:tcW w:type="dxa" w:w="1481"/>
            <w:vAlign w:val="top"/>
          </w:tcPr>
          <w:p>
            <w:r>
              <w:rPr>
                <w:sz w:val="14"/>
              </w:rPr>
              <w:t>Developers used prompts for code editing in practice as structured requests that specify intent, target code context, and expected edit behaviour; the study treats prompt formulation as an observable work practice rather than a generic query.</w:t>
            </w:r>
          </w:p>
        </w:tc>
        <w:tc>
          <w:tcPr>
            <w:tcW w:type="dxa" w:w="1481"/>
            <w:vAlign w:val="top"/>
          </w:tcPr>
          <w:p>
            <w:r>
              <w:rPr>
                <w:sz w:val="14"/>
              </w:rPr>
              <w:t>Qualitative taxonomy of prompt components and support needs</w:t>
            </w:r>
          </w:p>
        </w:tc>
        <w:tc>
          <w:tcPr>
            <w:tcW w:type="dxa" w:w="1481"/>
            <w:vAlign w:val="top"/>
          </w:tcPr>
          <w:p>
            <w:r>
              <w:rPr>
                <w:sz w:val="14"/>
              </w:rPr>
              <w:t>Prompts become more effective when task intent and contextual constraints are explicit</w:t>
            </w:r>
          </w:p>
        </w:tc>
        <w:tc>
          <w:tcPr>
            <w:tcW w:type="dxa" w:w="1481"/>
            <w:vAlign w:val="top"/>
          </w:tcPr>
          <w:p>
            <w:r>
              <w:rPr>
                <w:sz w:val="14"/>
              </w:rPr>
              <w:t>Findings and Discussion, pp. 7-12</w:t>
            </w:r>
          </w:p>
        </w:tc>
      </w:tr>
      <w:tr>
        <w:tc>
          <w:tcPr>
            <w:tcW w:type="dxa" w:w="1481"/>
            <w:vAlign w:val="top"/>
          </w:tcPr>
          <w:p>
            <w:r>
              <w:rPr>
                <w:sz w:val="14"/>
              </w:rPr>
              <w:t>denny_conversing_2023</w:t>
            </w:r>
          </w:p>
        </w:tc>
        <w:tc>
          <w:tcPr>
            <w:tcW w:type="dxa" w:w="1481"/>
            <w:vAlign w:val="top"/>
          </w:tcPr>
          <w:p>
            <w:r>
              <w:rPr>
                <w:sz w:val="14"/>
              </w:rPr>
              <w:t>2023</w:t>
            </w:r>
          </w:p>
        </w:tc>
        <w:tc>
          <w:tcPr>
            <w:tcW w:type="dxa" w:w="1481"/>
            <w:vAlign w:val="top"/>
          </w:tcPr>
          <w:p>
            <w:r>
              <w:rPr>
                <w:sz w:val="14"/>
              </w:rPr>
              <w:t>A2</w:t>
            </w:r>
          </w:p>
        </w:tc>
        <w:tc>
          <w:tcPr>
            <w:tcW w:type="dxa" w:w="1481"/>
            <w:vAlign w:val="top"/>
          </w:tcPr>
          <w:p>
            <w:r>
              <w:rPr>
                <w:sz w:val="14"/>
              </w:rPr>
              <w:t>Natural-language prompting can solve many introductory programming problems, but prompt-engineering choices materially affect whether Copilot reaches correct solutions.</w:t>
            </w:r>
          </w:p>
        </w:tc>
        <w:tc>
          <w:tcPr>
            <w:tcW w:type="dxa" w:w="1481"/>
            <w:vAlign w:val="top"/>
          </w:tcPr>
          <w:p>
            <w:r>
              <w:rPr>
                <w:sz w:val="14"/>
              </w:rPr>
              <w:t>Prompt-engineering experiment across CS1 problems</w:t>
            </w:r>
          </w:p>
        </w:tc>
        <w:tc>
          <w:tcPr>
            <w:tcW w:type="dxa" w:w="1481"/>
            <w:vAlign w:val="top"/>
          </w:tcPr>
          <w:p>
            <w:r>
              <w:rPr>
                <w:sz w:val="14"/>
              </w:rPr>
              <w:t>Prompt design improves success but does not eliminate failures</w:t>
            </w:r>
          </w:p>
        </w:tc>
        <w:tc>
          <w:tcPr>
            <w:tcW w:type="dxa" w:w="1481"/>
            <w:vAlign w:val="top"/>
          </w:tcPr>
          <w:p>
            <w:r>
              <w:rPr>
                <w:sz w:val="14"/>
              </w:rPr>
              <w:t>Results, pp. 5-8</w:t>
            </w:r>
          </w:p>
        </w:tc>
      </w:tr>
      <w:tr>
        <w:tc>
          <w:tcPr>
            <w:tcW w:type="dxa" w:w="1481"/>
            <w:vAlign w:val="top"/>
          </w:tcPr>
          <w:p>
            <w:r>
              <w:rPr>
                <w:sz w:val="14"/>
              </w:rPr>
              <w:t>barke_grounded_2023</w:t>
            </w:r>
          </w:p>
        </w:tc>
        <w:tc>
          <w:tcPr>
            <w:tcW w:type="dxa" w:w="1481"/>
            <w:vAlign w:val="top"/>
          </w:tcPr>
          <w:p>
            <w:r>
              <w:rPr>
                <w:sz w:val="14"/>
              </w:rPr>
              <w:t>2023</w:t>
            </w:r>
          </w:p>
        </w:tc>
        <w:tc>
          <w:tcPr>
            <w:tcW w:type="dxa" w:w="1481"/>
            <w:vAlign w:val="top"/>
          </w:tcPr>
          <w:p>
            <w:r>
              <w:rPr>
                <w:sz w:val="14"/>
              </w:rPr>
              <w:t>A1</w:t>
            </w:r>
          </w:p>
        </w:tc>
        <w:tc>
          <w:tcPr>
            <w:tcW w:type="dxa" w:w="1481"/>
            <w:vAlign w:val="top"/>
          </w:tcPr>
          <w:p>
            <w:r>
              <w:rPr>
                <w:sz w:val="14"/>
              </w:rPr>
              <w:t>Programmers interacted with code-generating models through two grounded modes: acceleration, where suggestions extend an existing plan, and exploration, where prompts are used to discover possible implementations.</w:t>
            </w:r>
          </w:p>
        </w:tc>
        <w:tc>
          <w:tcPr>
            <w:tcW w:type="dxa" w:w="1481"/>
            <w:vAlign w:val="top"/>
          </w:tcPr>
          <w:p>
            <w:r>
              <w:rPr>
                <w:sz w:val="14"/>
              </w:rPr>
              <w:t>Two interaction modes identified</w:t>
            </w:r>
          </w:p>
        </w:tc>
        <w:tc>
          <w:tcPr>
            <w:tcW w:type="dxa" w:w="1481"/>
            <w:vAlign w:val="top"/>
          </w:tcPr>
          <w:p>
            <w:r>
              <w:rPr>
                <w:sz w:val="14"/>
              </w:rPr>
              <w:t>Prompting shifts between execution support and exploratory sense-making</w:t>
            </w:r>
          </w:p>
        </w:tc>
        <w:tc>
          <w:tcPr>
            <w:tcW w:type="dxa" w:w="1481"/>
            <w:vAlign w:val="top"/>
          </w:tcPr>
          <w:p>
            <w:r>
              <w:rPr>
                <w:sz w:val="14"/>
              </w:rPr>
              <w:t>Findings, pp. 6-11</w:t>
            </w:r>
          </w:p>
        </w:tc>
      </w:tr>
      <w:tr>
        <w:tc>
          <w:tcPr>
            <w:tcW w:type="dxa" w:w="1481"/>
            <w:vAlign w:val="top"/>
          </w:tcPr>
          <w:p>
            <w:r>
              <w:rPr>
                <w:sz w:val="14"/>
              </w:rPr>
              <w:t>mailach_ok_2025</w:t>
            </w:r>
          </w:p>
        </w:tc>
        <w:tc>
          <w:tcPr>
            <w:tcW w:type="dxa" w:w="1481"/>
            <w:vAlign w:val="top"/>
          </w:tcPr>
          <w:p>
            <w:r>
              <w:rPr>
                <w:sz w:val="14"/>
              </w:rPr>
              <w:t>2025</w:t>
            </w:r>
          </w:p>
        </w:tc>
        <w:tc>
          <w:tcPr>
            <w:tcW w:type="dxa" w:w="1481"/>
            <w:vAlign w:val="top"/>
          </w:tcPr>
          <w:p>
            <w:r>
              <w:rPr>
                <w:sz w:val="14"/>
              </w:rPr>
              <w:t>A2</w:t>
            </w:r>
          </w:p>
        </w:tc>
        <w:tc>
          <w:tcPr>
            <w:tcW w:type="dxa" w:w="1481"/>
            <w:vAlign w:val="top"/>
          </w:tcPr>
          <w:p>
            <w:r>
              <w:rPr>
                <w:sz w:val="14"/>
              </w:rPr>
              <w:t>Programming beginners treated the conversational agent as a partner, using social, instructional, and repair-oriented turns while moving between problem understanding, code production, and debugging.</w:t>
            </w:r>
          </w:p>
        </w:tc>
        <w:tc>
          <w:tcPr>
            <w:tcW w:type="dxa" w:w="1481"/>
            <w:vAlign w:val="top"/>
          </w:tcPr>
          <w:p>
            <w:r>
              <w:rPr>
                <w:sz w:val="14"/>
              </w:rPr>
              <w:t>Interaction-pattern taxonomy from beginner sessions</w:t>
            </w:r>
          </w:p>
        </w:tc>
        <w:tc>
          <w:tcPr>
            <w:tcW w:type="dxa" w:w="1481"/>
            <w:vAlign w:val="top"/>
          </w:tcPr>
          <w:p>
            <w:r>
              <w:rPr>
                <w:sz w:val="14"/>
              </w:rPr>
              <w:t>Dialogue supports progress but also exposes dependence and miscalibration risks</w:t>
            </w:r>
          </w:p>
        </w:tc>
        <w:tc>
          <w:tcPr>
            <w:tcW w:type="dxa" w:w="1481"/>
            <w:vAlign w:val="top"/>
          </w:tcPr>
          <w:p>
            <w:r>
              <w:rPr>
                <w:sz w:val="14"/>
              </w:rPr>
              <w:t>Results, pp. 8-15</w:t>
            </w:r>
          </w:p>
        </w:tc>
      </w:tr>
      <w:tr>
        <w:tc>
          <w:tcPr>
            <w:tcW w:type="dxa" w:w="1481"/>
            <w:vAlign w:val="top"/>
          </w:tcPr>
          <w:p>
            <w:r>
              <w:rPr>
                <w:sz w:val="14"/>
              </w:rPr>
              <w:t>fakhoury_llm-based_2024</w:t>
            </w:r>
          </w:p>
        </w:tc>
        <w:tc>
          <w:tcPr>
            <w:tcW w:type="dxa" w:w="1481"/>
            <w:vAlign w:val="top"/>
          </w:tcPr>
          <w:p>
            <w:r>
              <w:rPr>
                <w:sz w:val="14"/>
              </w:rPr>
              <w:t>2024</w:t>
            </w:r>
          </w:p>
        </w:tc>
        <w:tc>
          <w:tcPr>
            <w:tcW w:type="dxa" w:w="1481"/>
            <w:vAlign w:val="top"/>
          </w:tcPr>
          <w:p>
            <w:r>
              <w:rPr>
                <w:sz w:val="14"/>
              </w:rPr>
              <w:t>A1</w:t>
            </w:r>
          </w:p>
        </w:tc>
        <w:tc>
          <w:tcPr>
            <w:tcW w:type="dxa" w:w="1481"/>
            <w:vAlign w:val="top"/>
          </w:tcPr>
          <w:p>
            <w:r>
              <w:rPr>
                <w:sz w:val="14"/>
              </w:rPr>
              <w:t>In test-driven interactive code generation, users iteratively supplied requirements, tests, and corrective feedback, making prompt refinement part of the development loop rather than a one-shot input.</w:t>
            </w:r>
          </w:p>
        </w:tc>
        <w:tc>
          <w:tcPr>
            <w:tcW w:type="dxa" w:w="1481"/>
            <w:vAlign w:val="top"/>
          </w:tcPr>
          <w:p>
            <w:r>
              <w:rPr>
                <w:sz w:val="14"/>
              </w:rPr>
              <w:t>User study plus empirical evaluation</w:t>
            </w:r>
          </w:p>
        </w:tc>
        <w:tc>
          <w:tcPr>
            <w:tcW w:type="dxa" w:w="1481"/>
            <w:vAlign w:val="top"/>
          </w:tcPr>
          <w:p>
            <w:r>
              <w:rPr>
                <w:sz w:val="14"/>
              </w:rPr>
              <w:t>Iterative prompting improves alignment but increases validation burden</w:t>
            </w:r>
          </w:p>
        </w:tc>
        <w:tc>
          <w:tcPr>
            <w:tcW w:type="dxa" w:w="1481"/>
            <w:vAlign w:val="top"/>
          </w:tcPr>
          <w:p>
            <w:r>
              <w:rPr>
                <w:sz w:val="14"/>
              </w:rPr>
              <w:t>Results and Discussion, pp. 9-15</w:t>
            </w:r>
          </w:p>
        </w:tc>
      </w:tr>
      <w:tr>
        <w:tc>
          <w:tcPr>
            <w:tcW w:type="dxa" w:w="1481"/>
            <w:vAlign w:val="top"/>
          </w:tcPr>
          <w:p>
            <w:r>
              <w:rPr>
                <w:sz w:val="14"/>
              </w:rPr>
              <w:t>hao_empirical_2024</w:t>
            </w:r>
          </w:p>
        </w:tc>
        <w:tc>
          <w:tcPr>
            <w:tcW w:type="dxa" w:w="1481"/>
            <w:vAlign w:val="top"/>
          </w:tcPr>
          <w:p>
            <w:r>
              <w:rPr>
                <w:sz w:val="14"/>
              </w:rPr>
              <w:t>2024</w:t>
            </w:r>
          </w:p>
        </w:tc>
        <w:tc>
          <w:tcPr>
            <w:tcW w:type="dxa" w:w="1481"/>
            <w:vAlign w:val="top"/>
          </w:tcPr>
          <w:p>
            <w:r>
              <w:rPr>
                <w:sz w:val="14"/>
              </w:rPr>
              <w:t>A1</w:t>
            </w:r>
          </w:p>
        </w:tc>
        <w:tc>
          <w:tcPr>
            <w:tcW w:type="dxa" w:w="1481"/>
            <w:vAlign w:val="top"/>
          </w:tcPr>
          <w:p>
            <w:r>
              <w:rPr>
                <w:sz w:val="14"/>
              </w:rPr>
              <w:t>Shared ChatGPT conversations in GitHub pull requests and issues frequently involved multi-turn exchanges; prompts served roles such as initiating tasks, adding follow-ups, and refining earlier requests.</w:t>
            </w:r>
          </w:p>
        </w:tc>
        <w:tc>
          <w:tcPr>
            <w:tcW w:type="dxa" w:w="1481"/>
            <w:vAlign w:val="top"/>
          </w:tcPr>
          <w:p>
            <w:r>
              <w:rPr>
                <w:sz w:val="14"/>
              </w:rPr>
              <w:t>Multi-turn conversations: 33.2% in PRs and 36.9% in issues</w:t>
            </w:r>
          </w:p>
        </w:tc>
        <w:tc>
          <w:tcPr>
            <w:tcW w:type="dxa" w:w="1481"/>
            <w:vAlign w:val="top"/>
          </w:tcPr>
          <w:p>
            <w:r>
              <w:rPr>
                <w:sz w:val="14"/>
              </w:rPr>
              <w:t>Conversational use is common in collaborative development contexts</w:t>
            </w:r>
          </w:p>
        </w:tc>
        <w:tc>
          <w:tcPr>
            <w:tcW w:type="dxa" w:w="1481"/>
            <w:vAlign w:val="top"/>
          </w:tcPr>
          <w:p>
            <w:r>
              <w:rPr>
                <w:sz w:val="14"/>
              </w:rPr>
              <w:t>Results, pp. 8-14</w:t>
            </w:r>
          </w:p>
        </w:tc>
      </w:tr>
      <w:tr>
        <w:tc>
          <w:tcPr>
            <w:tcW w:type="dxa" w:w="1481"/>
            <w:vAlign w:val="top"/>
          </w:tcPr>
          <w:p>
            <w:r>
              <w:rPr>
                <w:sz w:val="14"/>
              </w:rPr>
              <w:t>khojah_beyond_2024</w:t>
            </w:r>
          </w:p>
        </w:tc>
        <w:tc>
          <w:tcPr>
            <w:tcW w:type="dxa" w:w="1481"/>
            <w:vAlign w:val="top"/>
          </w:tcPr>
          <w:p>
            <w:r>
              <w:rPr>
                <w:sz w:val="14"/>
              </w:rPr>
              <w:t>2024</w:t>
            </w:r>
          </w:p>
        </w:tc>
        <w:tc>
          <w:tcPr>
            <w:tcW w:type="dxa" w:w="1481"/>
            <w:vAlign w:val="top"/>
          </w:tcPr>
          <w:p>
            <w:r>
              <w:rPr>
                <w:sz w:val="14"/>
              </w:rPr>
              <w:t>A2</w:t>
            </w:r>
          </w:p>
        </w:tc>
        <w:tc>
          <w:tcPr>
            <w:tcW w:type="dxa" w:w="1481"/>
            <w:vAlign w:val="top"/>
          </w:tcPr>
          <w:p>
            <w:r>
              <w:rPr>
                <w:sz w:val="14"/>
              </w:rPr>
              <w:t>Observed ChatGPT use extended beyond direct code generation into explanation, debugging, planning, and clarification, with developers adapting dialogue to the immediate software-engineering activity.</w:t>
            </w:r>
          </w:p>
        </w:tc>
        <w:tc>
          <w:tcPr>
            <w:tcW w:type="dxa" w:w="1481"/>
            <w:vAlign w:val="top"/>
          </w:tcPr>
          <w:p>
            <w:r>
              <w:rPr>
                <w:sz w:val="14"/>
              </w:rPr>
              <w:t>Observational usage categories</w:t>
            </w:r>
          </w:p>
        </w:tc>
        <w:tc>
          <w:tcPr>
            <w:tcW w:type="dxa" w:w="1481"/>
            <w:vAlign w:val="top"/>
          </w:tcPr>
          <w:p>
            <w:r>
              <w:rPr>
                <w:sz w:val="14"/>
              </w:rPr>
              <w:t>Prompting functions as task orchestration, not only code request formulation</w:t>
            </w:r>
          </w:p>
        </w:tc>
        <w:tc>
          <w:tcPr>
            <w:tcW w:type="dxa" w:w="1481"/>
            <w:vAlign w:val="top"/>
          </w:tcPr>
          <w:p>
            <w:r>
              <w:rPr>
                <w:sz w:val="14"/>
              </w:rPr>
              <w:t>Results, pp. 6-12</w:t>
            </w:r>
          </w:p>
        </w:tc>
      </w:tr>
      <w:tr>
        <w:tc>
          <w:tcPr>
            <w:tcW w:type="dxa" w:w="1481"/>
            <w:vAlign w:val="top"/>
          </w:tcPr>
          <w:p>
            <w:r>
              <w:rPr>
                <w:sz w:val="14"/>
              </w:rPr>
              <w:t>zhang_demystifying_2023</w:t>
            </w:r>
          </w:p>
        </w:tc>
        <w:tc>
          <w:tcPr>
            <w:tcW w:type="dxa" w:w="1481"/>
            <w:vAlign w:val="top"/>
          </w:tcPr>
          <w:p>
            <w:r>
              <w:rPr>
                <w:sz w:val="14"/>
              </w:rPr>
              <w:t>2023</w:t>
            </w:r>
          </w:p>
        </w:tc>
        <w:tc>
          <w:tcPr>
            <w:tcW w:type="dxa" w:w="1481"/>
            <w:vAlign w:val="top"/>
          </w:tcPr>
          <w:p>
            <w:r>
              <w:rPr>
                <w:sz w:val="14"/>
              </w:rPr>
              <w:t>A2</w:t>
            </w:r>
          </w:p>
        </w:tc>
        <w:tc>
          <w:tcPr>
            <w:tcW w:type="dxa" w:w="1481"/>
            <w:vAlign w:val="top"/>
          </w:tcPr>
          <w:p>
            <w:r>
              <w:rPr>
                <w:sz w:val="14"/>
              </w:rPr>
              <w:t>Developers reported practical challenges in using GitHub Copilot, including steering suggestions, coping with irrelevant outputs, and needing features that make interaction more controllable.</w:t>
            </w:r>
          </w:p>
        </w:tc>
        <w:tc>
          <w:tcPr>
            <w:tcW w:type="dxa" w:w="1481"/>
            <w:vAlign w:val="top"/>
          </w:tcPr>
          <w:p>
            <w:r>
              <w:rPr>
                <w:sz w:val="14"/>
              </w:rPr>
              <w:t>Survey/interview evidence on practices and challenges</w:t>
            </w:r>
          </w:p>
        </w:tc>
        <w:tc>
          <w:tcPr>
            <w:tcW w:type="dxa" w:w="1481"/>
            <w:vAlign w:val="top"/>
          </w:tcPr>
          <w:p>
            <w:r>
              <w:rPr>
                <w:sz w:val="14"/>
              </w:rPr>
              <w:t>Prompting friction reduces reliability and controllability</w:t>
            </w:r>
          </w:p>
        </w:tc>
        <w:tc>
          <w:tcPr>
            <w:tcW w:type="dxa" w:w="1481"/>
            <w:vAlign w:val="top"/>
          </w:tcPr>
          <w:p>
            <w:r>
              <w:rPr>
                <w:sz w:val="14"/>
              </w:rPr>
              <w:t>Findings, pp. 5-10</w:t>
            </w:r>
          </w:p>
        </w:tc>
      </w:tr>
      <w:tr>
        <w:tc>
          <w:tcPr>
            <w:tcW w:type="dxa" w:w="1481"/>
            <w:vAlign w:val="top"/>
          </w:tcPr>
          <w:p>
            <w:r>
              <w:rPr>
                <w:sz w:val="14"/>
              </w:rPr>
              <w:t>kruse_can_2024</w:t>
            </w:r>
          </w:p>
        </w:tc>
        <w:tc>
          <w:tcPr>
            <w:tcW w:type="dxa" w:w="1481"/>
            <w:vAlign w:val="top"/>
          </w:tcPr>
          <w:p>
            <w:r>
              <w:rPr>
                <w:sz w:val="14"/>
              </w:rPr>
              <w:t>2024</w:t>
            </w:r>
          </w:p>
        </w:tc>
        <w:tc>
          <w:tcPr>
            <w:tcW w:type="dxa" w:w="1481"/>
            <w:vAlign w:val="top"/>
          </w:tcPr>
          <w:p>
            <w:r>
              <w:rPr>
                <w:sz w:val="14"/>
              </w:rPr>
              <w:t>A1</w:t>
            </w:r>
          </w:p>
        </w:tc>
        <w:tc>
          <w:tcPr>
            <w:tcW w:type="dxa" w:w="1481"/>
            <w:vAlign w:val="top"/>
          </w:tcPr>
          <w:p>
            <w:r>
              <w:rPr>
                <w:sz w:val="14"/>
              </w:rPr>
              <w:t>A controlled experiment on documentation generation showed that developers do not uniformly produce prompts that elicit high-quality documentation, indicating measurable variation in prompting ability.</w:t>
            </w:r>
          </w:p>
        </w:tc>
        <w:tc>
          <w:tcPr>
            <w:tcW w:type="dxa" w:w="1481"/>
            <w:vAlign w:val="top"/>
          </w:tcPr>
          <w:p>
            <w:r>
              <w:rPr>
                <w:sz w:val="14"/>
              </w:rPr>
              <w:t>Controlled experiment for code-documentation prompts</w:t>
            </w:r>
          </w:p>
        </w:tc>
        <w:tc>
          <w:tcPr>
            <w:tcW w:type="dxa" w:w="1481"/>
            <w:vAlign w:val="top"/>
          </w:tcPr>
          <w:p>
            <w:r>
              <w:rPr>
                <w:sz w:val="14"/>
              </w:rPr>
              <w:t>Prompting literacy varies across developers</w:t>
            </w:r>
          </w:p>
        </w:tc>
        <w:tc>
          <w:tcPr>
            <w:tcW w:type="dxa" w:w="1481"/>
            <w:vAlign w:val="top"/>
          </w:tcPr>
          <w:p>
            <w:r>
              <w:rPr>
                <w:sz w:val="14"/>
              </w:rPr>
              <w:t>Results, pp. 7-13</w:t>
            </w:r>
          </w:p>
        </w:tc>
      </w:tr>
      <w:tr>
        <w:tc>
          <w:tcPr>
            <w:tcW w:type="dxa" w:w="1481"/>
            <w:vAlign w:val="top"/>
          </w:tcPr>
          <w:p>
            <w:r>
              <w:rPr>
                <w:sz w:val="14"/>
              </w:rPr>
              <w:t>otten_prompting_2026</w:t>
            </w:r>
          </w:p>
        </w:tc>
        <w:tc>
          <w:tcPr>
            <w:tcW w:type="dxa" w:w="1481"/>
            <w:vAlign w:val="top"/>
          </w:tcPr>
          <w:p>
            <w:r>
              <w:rPr>
                <w:sz w:val="14"/>
              </w:rPr>
              <w:t>2026</w:t>
            </w:r>
          </w:p>
        </w:tc>
        <w:tc>
          <w:tcPr>
            <w:tcW w:type="dxa" w:w="1481"/>
            <w:vAlign w:val="top"/>
          </w:tcPr>
          <w:p>
            <w:r>
              <w:rPr>
                <w:sz w:val="14"/>
              </w:rPr>
              <w:t>A1</w:t>
            </w:r>
          </w:p>
        </w:tc>
        <w:tc>
          <w:tcPr>
            <w:tcW w:type="dxa" w:w="1481"/>
            <w:vAlign w:val="top"/>
          </w:tcPr>
          <w:p>
            <w:r>
              <w:rPr>
                <w:sz w:val="14"/>
              </w:rPr>
              <w:t>Software practitioners used prompt patterns that included task framing, context provision, examples, constraints, and iterative follow-up, but their practices were uneven and often tacit.</w:t>
            </w:r>
          </w:p>
        </w:tc>
        <w:tc>
          <w:tcPr>
            <w:tcW w:type="dxa" w:w="1481"/>
            <w:vAlign w:val="top"/>
          </w:tcPr>
          <w:p>
            <w:r>
              <w:rPr>
                <w:sz w:val="14"/>
              </w:rPr>
              <w:t>Practitioner prompting taxonomy</w:t>
            </w:r>
          </w:p>
        </w:tc>
        <w:tc>
          <w:tcPr>
            <w:tcW w:type="dxa" w:w="1481"/>
            <w:vAlign w:val="top"/>
          </w:tcPr>
          <w:p>
            <w:r>
              <w:rPr>
                <w:sz w:val="14"/>
              </w:rPr>
              <w:t>Prompting is an emerging professional skill rather than a stable standard practice</w:t>
            </w:r>
          </w:p>
        </w:tc>
        <w:tc>
          <w:tcPr>
            <w:tcW w:type="dxa" w:w="1481"/>
            <w:vAlign w:val="top"/>
          </w:tcPr>
          <w:p>
            <w:r>
              <w:rPr>
                <w:sz w:val="14"/>
              </w:rPr>
              <w:t>Results and Discussion, pp. 8-17</w:t>
            </w:r>
          </w:p>
        </w:tc>
      </w:tr>
      <w:tr>
        <w:tc>
          <w:tcPr>
            <w:tcW w:type="dxa" w:w="1481"/>
            <w:vAlign w:val="top"/>
          </w:tcPr>
          <w:p>
            <w:r>
              <w:rPr>
                <w:sz w:val="14"/>
              </w:rPr>
              <w:t>hyun_experimental_2025</w:t>
            </w:r>
          </w:p>
        </w:tc>
        <w:tc>
          <w:tcPr>
            <w:tcW w:type="dxa" w:w="1481"/>
            <w:vAlign w:val="top"/>
          </w:tcPr>
          <w:p>
            <w:r>
              <w:rPr>
                <w:sz w:val="14"/>
              </w:rPr>
              <w:t>2025</w:t>
            </w:r>
          </w:p>
        </w:tc>
        <w:tc>
          <w:tcPr>
            <w:tcW w:type="dxa" w:w="1481"/>
            <w:vAlign w:val="top"/>
          </w:tcPr>
          <w:p>
            <w:r>
              <w:rPr>
                <w:sz w:val="14"/>
              </w:rPr>
              <w:t>A2</w:t>
            </w:r>
          </w:p>
        </w:tc>
        <w:tc>
          <w:tcPr>
            <w:tcW w:type="dxa" w:w="1481"/>
            <w:vAlign w:val="top"/>
          </w:tcPr>
          <w:p>
            <w:r>
              <w:rPr>
                <w:sz w:val="14"/>
              </w:rPr>
              <w:t>Productive interaction strategies with ChatGPT differed between function-level and project-level tasks, showing that interaction strategy must be matched to task granularity.</w:t>
            </w:r>
          </w:p>
        </w:tc>
        <w:tc>
          <w:tcPr>
            <w:tcW w:type="dxa" w:w="1481"/>
            <w:vAlign w:val="top"/>
          </w:tcPr>
          <w:p>
            <w:r>
              <w:rPr>
                <w:sz w:val="14"/>
              </w:rPr>
              <w:t>User study on function- and project-level generation</w:t>
            </w:r>
          </w:p>
        </w:tc>
        <w:tc>
          <w:tcPr>
            <w:tcW w:type="dxa" w:w="1481"/>
            <w:vAlign w:val="top"/>
          </w:tcPr>
          <w:p>
            <w:r>
              <w:rPr>
                <w:sz w:val="14"/>
              </w:rPr>
              <w:t>Strategy fit affects productivity and output usefulness</w:t>
            </w:r>
          </w:p>
        </w:tc>
        <w:tc>
          <w:tcPr>
            <w:tcW w:type="dxa" w:w="1481"/>
            <w:vAlign w:val="top"/>
          </w:tcPr>
          <w:p>
            <w:r>
              <w:rPr>
                <w:sz w:val="14"/>
              </w:rPr>
              <w:t>Results, pp. 9-14</w:t>
            </w:r>
          </w:p>
        </w:tc>
      </w:tr>
      <w:tr>
        <w:tc>
          <w:tcPr>
            <w:tcW w:type="dxa" w:w="1481"/>
            <w:vAlign w:val="top"/>
          </w:tcPr>
          <w:p>
            <w:r>
              <w:rPr>
                <w:sz w:val="14"/>
              </w:rPr>
              <w:t>larbi_when_2025</w:t>
            </w:r>
          </w:p>
        </w:tc>
        <w:tc>
          <w:tcPr>
            <w:tcW w:type="dxa" w:w="1481"/>
            <w:vAlign w:val="top"/>
          </w:tcPr>
          <w:p>
            <w:r>
              <w:rPr>
                <w:sz w:val="14"/>
              </w:rPr>
              <w:t>2025</w:t>
            </w:r>
          </w:p>
        </w:tc>
        <w:tc>
          <w:tcPr>
            <w:tcW w:type="dxa" w:w="1481"/>
            <w:vAlign w:val="top"/>
          </w:tcPr>
          <w:p>
            <w:r>
              <w:rPr>
                <w:sz w:val="14"/>
              </w:rPr>
              <w:t>A1</w:t>
            </w:r>
          </w:p>
        </w:tc>
        <w:tc>
          <w:tcPr>
            <w:tcW w:type="dxa" w:w="1481"/>
            <w:vAlign w:val="top"/>
          </w:tcPr>
          <w:p>
            <w:r>
              <w:rPr>
                <w:sz w:val="14"/>
              </w:rPr>
              <w:t>Ambiguous, contradictory, and incomplete prompts degraded code-model performance, demonstrating that apparently small prompt defects can create substantial robustness problems.</w:t>
            </w:r>
          </w:p>
        </w:tc>
        <w:tc>
          <w:tcPr>
            <w:tcW w:type="dxa" w:w="1481"/>
            <w:vAlign w:val="top"/>
          </w:tcPr>
          <w:p>
            <w:r>
              <w:rPr>
                <w:sz w:val="14"/>
              </w:rPr>
              <w:t>Robustness evaluation under faulty prompt conditions</w:t>
            </w:r>
          </w:p>
        </w:tc>
        <w:tc>
          <w:tcPr>
            <w:tcW w:type="dxa" w:w="1481"/>
            <w:vAlign w:val="top"/>
          </w:tcPr>
          <w:p>
            <w:r>
              <w:rPr>
                <w:sz w:val="14"/>
              </w:rPr>
              <w:t>Prompt quality strongly affects output quality</w:t>
            </w:r>
          </w:p>
        </w:tc>
        <w:tc>
          <w:tcPr>
            <w:tcW w:type="dxa" w:w="1481"/>
            <w:vAlign w:val="top"/>
          </w:tcPr>
          <w:p>
            <w:r>
              <w:rPr>
                <w:sz w:val="14"/>
              </w:rPr>
              <w:t>Evaluation and Results, pp. 6-11</w:t>
            </w:r>
          </w:p>
        </w:tc>
      </w:tr>
      <w:tr>
        <w:tc>
          <w:tcPr>
            <w:tcW w:type="dxa" w:w="1481"/>
            <w:vAlign w:val="top"/>
          </w:tcPr>
          <w:p>
            <w:r>
              <w:rPr>
                <w:sz w:val="14"/>
              </w:rPr>
              <w:t>chen_nlperturbator_2026</w:t>
            </w:r>
          </w:p>
        </w:tc>
        <w:tc>
          <w:tcPr>
            <w:tcW w:type="dxa" w:w="1481"/>
            <w:vAlign w:val="top"/>
          </w:tcPr>
          <w:p>
            <w:r>
              <w:rPr>
                <w:sz w:val="14"/>
              </w:rPr>
              <w:t>2026</w:t>
            </w:r>
          </w:p>
        </w:tc>
        <w:tc>
          <w:tcPr>
            <w:tcW w:type="dxa" w:w="1481"/>
            <w:vAlign w:val="top"/>
          </w:tcPr>
          <w:p>
            <w:r>
              <w:rPr>
                <w:sz w:val="14"/>
              </w:rPr>
              <w:t>A1</w:t>
            </w:r>
          </w:p>
        </w:tc>
        <w:tc>
          <w:tcPr>
            <w:tcW w:type="dxa" w:w="1481"/>
            <w:vAlign w:val="top"/>
          </w:tcPr>
          <w:p>
            <w:r>
              <w:rPr>
                <w:sz w:val="14"/>
              </w:rPr>
              <w:t>Natural-language variations in prompts changed Code LLM behaviour, indicating that robustness cannot be assumed even when task semantics are intended to remain stable.</w:t>
            </w:r>
          </w:p>
        </w:tc>
        <w:tc>
          <w:tcPr>
            <w:tcW w:type="dxa" w:w="1481"/>
            <w:vAlign w:val="top"/>
          </w:tcPr>
          <w:p>
            <w:r>
              <w:rPr>
                <w:sz w:val="14"/>
              </w:rPr>
              <w:t>NLPerturbator robustness study</w:t>
            </w:r>
          </w:p>
        </w:tc>
        <w:tc>
          <w:tcPr>
            <w:tcW w:type="dxa" w:w="1481"/>
            <w:vAlign w:val="top"/>
          </w:tcPr>
          <w:p>
            <w:r>
              <w:rPr>
                <w:sz w:val="14"/>
              </w:rPr>
              <w:t>Surface-form variation can alter model performance</w:t>
            </w:r>
          </w:p>
        </w:tc>
        <w:tc>
          <w:tcPr>
            <w:tcW w:type="dxa" w:w="1481"/>
            <w:vAlign w:val="top"/>
          </w:tcPr>
          <w:p>
            <w:r>
              <w:rPr>
                <w:sz w:val="14"/>
              </w:rPr>
              <w:t>Evaluation, pp. 7-12</w:t>
            </w:r>
          </w:p>
        </w:tc>
      </w:tr>
      <w:tr>
        <w:tc>
          <w:tcPr>
            <w:tcW w:type="dxa" w:w="1481"/>
            <w:vAlign w:val="top"/>
          </w:tcPr>
          <w:p>
            <w:r>
              <w:rPr>
                <w:sz w:val="14"/>
              </w:rPr>
              <w:t>li_refining_2025</w:t>
            </w:r>
          </w:p>
        </w:tc>
        <w:tc>
          <w:tcPr>
            <w:tcW w:type="dxa" w:w="1481"/>
            <w:vAlign w:val="top"/>
          </w:tcPr>
          <w:p>
            <w:r>
              <w:rPr>
                <w:sz w:val="14"/>
              </w:rPr>
              <w:t>2025</w:t>
            </w:r>
          </w:p>
        </w:tc>
        <w:tc>
          <w:tcPr>
            <w:tcW w:type="dxa" w:w="1481"/>
            <w:vAlign w:val="top"/>
          </w:tcPr>
          <w:p>
            <w:r>
              <w:rPr>
                <w:sz w:val="14"/>
              </w:rPr>
              <w:t>A2</w:t>
            </w:r>
          </w:p>
        </w:tc>
        <w:tc>
          <w:tcPr>
            <w:tcW w:type="dxa" w:w="1481"/>
            <w:vAlign w:val="top"/>
          </w:tcPr>
          <w:p>
            <w:r>
              <w:rPr>
                <w:sz w:val="14"/>
              </w:rPr>
              <w:t>Faulty-premise prompts exposed weaknesses in critical evaluation during code generation, suggesting that users must recognise when a request itself embeds false or unsafe assumptions.</w:t>
            </w:r>
          </w:p>
        </w:tc>
        <w:tc>
          <w:tcPr>
            <w:tcW w:type="dxa" w:w="1481"/>
            <w:vAlign w:val="top"/>
          </w:tcPr>
          <w:p>
            <w:r>
              <w:rPr>
                <w:sz w:val="14"/>
              </w:rPr>
              <w:t>Faulty-premise evaluation framework</w:t>
            </w:r>
          </w:p>
        </w:tc>
        <w:tc>
          <w:tcPr>
            <w:tcW w:type="dxa" w:w="1481"/>
            <w:vAlign w:val="top"/>
          </w:tcPr>
          <w:p>
            <w:r>
              <w:rPr>
                <w:sz w:val="14"/>
              </w:rPr>
              <w:t>Critical prompting and premise checking are necessary safeguards</w:t>
            </w:r>
          </w:p>
        </w:tc>
        <w:tc>
          <w:tcPr>
            <w:tcW w:type="dxa" w:w="1481"/>
            <w:vAlign w:val="top"/>
          </w:tcPr>
          <w:p>
            <w:r>
              <w:rPr>
                <w:sz w:val="14"/>
              </w:rPr>
              <w:t>Results, pp. 8-13</w:t>
            </w:r>
          </w:p>
        </w:tc>
      </w:tr>
      <w:tr>
        <w:tc>
          <w:tcPr>
            <w:tcW w:type="dxa" w:w="1481"/>
            <w:vAlign w:val="top"/>
          </w:tcPr>
          <w:p>
            <w:r>
              <w:rPr>
                <w:sz w:val="14"/>
              </w:rPr>
              <w:t>das_why_2025</w:t>
            </w:r>
          </w:p>
        </w:tc>
        <w:tc>
          <w:tcPr>
            <w:tcW w:type="dxa" w:w="1481"/>
            <w:vAlign w:val="top"/>
          </w:tcPr>
          <w:p>
            <w:r>
              <w:rPr>
                <w:sz w:val="14"/>
              </w:rPr>
              <w:t>2025</w:t>
            </w:r>
          </w:p>
        </w:tc>
        <w:tc>
          <w:tcPr>
            <w:tcW w:type="dxa" w:w="1481"/>
            <w:vAlign w:val="top"/>
          </w:tcPr>
          <w:p>
            <w:r>
              <w:rPr>
                <w:sz w:val="14"/>
              </w:rPr>
              <w:t>A2</w:t>
            </w:r>
          </w:p>
        </w:tc>
        <w:tc>
          <w:tcPr>
            <w:tcW w:type="dxa" w:w="1481"/>
            <w:vAlign w:val="top"/>
          </w:tcPr>
          <w:p>
            <w:r>
              <w:rPr>
                <w:sz w:val="14"/>
              </w:rPr>
              <w:t>Issue-tracker use of ChatGPT-generated code showed reliance patterns in which developers brought generated solutions into collaborative problem solving, requiring others to inspect both code and conversational rationale.</w:t>
            </w:r>
          </w:p>
        </w:tc>
        <w:tc>
          <w:tcPr>
            <w:tcW w:type="dxa" w:w="1481"/>
            <w:vAlign w:val="top"/>
          </w:tcPr>
          <w:p>
            <w:r>
              <w:rPr>
                <w:sz w:val="14"/>
              </w:rPr>
              <w:t>Issue-tracker analysis of ChatGPT reliance</w:t>
            </w:r>
          </w:p>
        </w:tc>
        <w:tc>
          <w:tcPr>
            <w:tcW w:type="dxa" w:w="1481"/>
            <w:vAlign w:val="top"/>
          </w:tcPr>
          <w:p>
            <w:r>
              <w:rPr>
                <w:sz w:val="14"/>
              </w:rPr>
              <w:t>Prompting artefacts become part of collaborative validation</w:t>
            </w:r>
          </w:p>
        </w:tc>
        <w:tc>
          <w:tcPr>
            <w:tcW w:type="dxa" w:w="1481"/>
            <w:vAlign w:val="top"/>
          </w:tcPr>
          <w:p>
            <w:r>
              <w:rPr>
                <w:sz w:val="14"/>
              </w:rPr>
              <w:t>Results, pp. 8-15</w:t>
            </w:r>
          </w:p>
        </w:tc>
      </w:tr>
      <w:tr>
        <w:tc>
          <w:tcPr>
            <w:tcW w:type="dxa" w:w="1481"/>
            <w:vAlign w:val="top"/>
          </w:tcPr>
          <w:p>
            <w:r>
              <w:rPr>
                <w:sz w:val="14"/>
              </w:rPr>
              <w:t>kim_codeassistbench_2025</w:t>
            </w:r>
          </w:p>
        </w:tc>
        <w:tc>
          <w:tcPr>
            <w:tcW w:type="dxa" w:w="1481"/>
            <w:vAlign w:val="top"/>
          </w:tcPr>
          <w:p>
            <w:r>
              <w:rPr>
                <w:sz w:val="14"/>
              </w:rPr>
              <w:t>2025</w:t>
            </w:r>
          </w:p>
        </w:tc>
        <w:tc>
          <w:tcPr>
            <w:tcW w:type="dxa" w:w="1481"/>
            <w:vAlign w:val="top"/>
          </w:tcPr>
          <w:p>
            <w:r>
              <w:rPr>
                <w:sz w:val="14"/>
              </w:rPr>
              <w:t>A1</w:t>
            </w:r>
          </w:p>
        </w:tc>
        <w:tc>
          <w:tcPr>
            <w:tcW w:type="dxa" w:w="1481"/>
            <w:vAlign w:val="top"/>
          </w:tcPr>
          <w:p>
            <w:r>
              <w:rPr>
                <w:sz w:val="14"/>
              </w:rPr>
              <w:t>The CodeAssistBench dataset operationalised multi-turn chat-based code assistance, showing that evaluation must account for dialogue history rather than isolated prompt-response pairs.</w:t>
            </w:r>
          </w:p>
        </w:tc>
        <w:tc>
          <w:tcPr>
            <w:tcW w:type="dxa" w:w="1481"/>
            <w:vAlign w:val="top"/>
          </w:tcPr>
          <w:p>
            <w:r>
              <w:rPr>
                <w:sz w:val="14"/>
              </w:rPr>
              <w:t>Multi-turn benchmark/dataset</w:t>
            </w:r>
          </w:p>
        </w:tc>
        <w:tc>
          <w:tcPr>
            <w:tcW w:type="dxa" w:w="1481"/>
            <w:vAlign w:val="top"/>
          </w:tcPr>
          <w:p>
            <w:r>
              <w:rPr>
                <w:sz w:val="14"/>
              </w:rPr>
              <w:t>Conversational context is central to assessing assistance quality</w:t>
            </w:r>
          </w:p>
        </w:tc>
        <w:tc>
          <w:tcPr>
            <w:tcW w:type="dxa" w:w="1481"/>
            <w:vAlign w:val="top"/>
          </w:tcPr>
          <w:p>
            <w:r>
              <w:rPr>
                <w:sz w:val="14"/>
              </w:rPr>
              <w:t>Dataset and Benchmark Results, pp. 4-10</w:t>
            </w:r>
          </w:p>
        </w:tc>
      </w:tr>
    </w:tbl>
    <w:p>
      <w:pPr>
        <w:pStyle w:val="Heading1"/>
      </w:pPr>
      <w:r>
        <w:t>2. Analytical narrative</w:t>
      </w:r>
    </w:p>
    <w:p>
      <w:r>
        <w:rPr>
          <w:b/>
        </w:rPr>
        <w:t xml:space="preserve">Prompting strategies and their taxonomies. </w:t>
      </w:r>
      <w:r>
        <w:t>The HAI CORE evidence treats prompting less as a single instruction and more as a situated interactional practice. In code editing, developers formulate prompts by combining intent, code context, and desired transformation, which makes prompting a form of task specification rather than merely a request for text completion [1]. Experimental work with Copilot similarly shows that natural-language prompt engineering can shape whether introductory programming tasks are solved successfully, but that success depends on how the problem is framed and decomposed [2]. A complementary observational account distinguishes acceleration and exploration: programmers either use prompts to extend an already-grounded implementation plan or to probe possible solutions when the plan is not yet settled [3]. Together, these studies show that the relevant taxonomy is not only syntactic, such as one-shot versus multi-turn, but functional: prompts specify, explore, repair, constrain, and validate software work.</w:t>
      </w:r>
    </w:p>
    <w:p>
      <w:r>
        <w:rPr>
          <w:b/>
        </w:rPr>
        <w:t xml:space="preserve">Conversational dynamics. </w:t>
      </w:r>
      <w:r>
        <w:t>The strongest pattern is that prompting becomes conversational when the task resists immediate closure. Beginners working with a conversational programming assistant moved through social, instructional, repair-oriented, and debugging turns, treating the system as an interlocutor while still needing to decide whether its answers were usable [4]. In test-driven interactive generation, users supplied requirements, tests, and corrective feedback across cycles, so the prompt was repeatedly revised against executable evidence [5]. Shared ChatGPT conversations in GitHub pull requests and issues make this multi-turn structure visible in real collaborative artefacts: multi-turn exchanges represented 33.2% of shared PR conversations and 36.9% of shared issue conversations, with prompts initiating tasks, adding follow-ups, and refining previous requests [6]. Observed professional use also extends dialogue beyond code generation into explanation, planning, debugging, and clarification, indicating that developers use conversation to orchestrate software-engineering activity rather than simply to obtain snippets [7].</w:t>
      </w:r>
    </w:p>
    <w:p>
      <w:r>
        <w:rPr>
          <w:b/>
        </w:rPr>
        <w:t xml:space="preserve">Failure modes in dialogue. </w:t>
      </w:r>
      <w:r>
        <w:t>The same evidence base shows that conversationality introduces new failure modes. Developers reported difficulty steering GitHub Copilot, managing irrelevant suggestions, and obtaining more controllable interactions [8]. The collaborative issue-tracker evidence adds that ChatGPT-generated code and the surrounding rationale can enter public engineering discussions, shifting part of the verification burden to reviewers who must inspect both the artefact and the conversational path that produced it [9]. Benchmark work reinforces this point: multi-turn chat-based code assistance cannot be adequately evaluated as isolated prompt-response pairs, because dialogue history changes what the next response means and how success should be judged [10]. Thus, the HAI problem is not only whether a model can answer a prompt, but whether developers can maintain a coherent, auditable interaction over time.</w:t>
      </w:r>
    </w:p>
    <w:p>
      <w:r>
        <w:rPr>
          <w:b/>
        </w:rPr>
        <w:t xml:space="preserve">Prompt sensitivity and robustness. </w:t>
      </w:r>
      <w:r>
        <w:t>Prompt formulation is empirically fragile. Robustness studies show that ambiguous, contradictory, and incomplete prompts degrade code-model performance, meaning that defects in the request can become defects in the produced software [11]. Natural-language perturbation evidence pushes the same claim further: even surface-level variations in wording can change Code LLM behaviour when task semantics are intended to remain stable [12]. Faulty-premise evaluation adds a different sensitivity problem: a model may comply with a request whose assumptions should have been challenged, so prompting quality includes premise checking and critical evaluation, not only clarity [13]. These studies collectively make prompt robustness a central HAI construct, because interaction quality depends on both the user’s formulation and the model’s resilience to imperfect language.</w:t>
      </w:r>
    </w:p>
    <w:p>
      <w:r>
        <w:rPr>
          <w:b/>
        </w:rPr>
        <w:t xml:space="preserve">Prompting as a skill. </w:t>
      </w:r>
      <w:r>
        <w:t>The corpus also indicates that prompting literacy varies across developers. In a controlled documentation-generation experiment, developers did not uniformly produce prompts that elicited high-quality documentation, making prompting ability empirically observable rather than an assumed background competence [14]. Practitioner evidence shows the same unevenness in real work: software developers use task framing, context provision, examples, constraints, and iterative follow-up, but these practices remain tacit and inconsistently applied [15]. Interaction-strategy evidence further suggests that productive prompting differs by task granularity: function-level and project-level generation require different ways of decomposing, contextualising, and validating requests [16]. Phase 1.1 therefore positions prompting as an HAI skill that mediates between developer intent, model behaviour, and collaborative validation.</w:t>
      </w:r>
    </w:p>
    <w:p>
      <w:pPr>
        <w:pStyle w:val="Heading1"/>
      </w:pPr>
      <w:r>
        <w:t>3. Self-contained note</w:t>
      </w:r>
    </w:p>
    <w:p>
      <w:r>
        <w:t>This sub-topic contributes a focused account of how human-AI interaction in the HAI CORE corpus is organised through prompts, turns, corrections, and dialogue histories. Its main contribution is to show that prompting is not a peripheral usability detail: it is the mechanism through which developers specify tasks, expose context, negotiate failures, and make AI-generated artefacts reviewable. The remaining gap for NB4 SUPPORT is triangulation: Phase 3 should test whether these CORE patterns hold across broader peripheral evidence, especially in organisational settings, under-represented developer populations, and studies where prompt logs are unavailable or only indirectly reconstructed.</w:t>
      </w:r>
    </w:p>
    <w:p>
      <w:pPr>
        <w:pStyle w:val="Heading1"/>
      </w:pPr>
      <w:r>
        <w:t>4. References</w:t>
      </w:r>
    </w:p>
    <w:p>
      <w:r>
        <w:t>[1] Understanding and Supporting How Developers Prompt for LLM-powered Code Editing in Practice. Nam, Daye; Omran, Ahmed; Murillo, Ambar; Thakur, Saksham; Araujo, Abner; Blistein, Marcel; Frömmgen, Alexander; Hellendoorn, Vincent; Chandra, Satish, 2025. Bibkey: nam_understanding_2025.</w:t>
      </w:r>
    </w:p>
    <w:p>
      <w:r>
        <w:t>[2] Conversing with Copilot: Exploring Prompt Engineering for Solving CS1 Problems Using Natural Language. Denny, Paul; Kumar, Viraj; Giacaman, Nasser, 2023. Bibkey: denny_conversing_2023.</w:t>
      </w:r>
    </w:p>
    <w:p>
      <w:r>
        <w:t>[3] Grounded Copilot: How Programmers Interact with Code-Generating Models. Barke, Shraddha; James, Michael B.; Polikarpova, Nadia, 2023. Bibkey: barke_grounded_2023.</w:t>
      </w:r>
    </w:p>
    <w:p>
      <w:r>
        <w:t>[4] “Ok Pal, We Have to Code That Now”: Interaction Patterns of Programming Beginners with a Conversational Chatbot. Mailach, Alina; Gorgosch, Dominik; Siegmund, Norbert; Siegmund, Janet, 2025. Bibkey: mailach_ok_2025.</w:t>
      </w:r>
    </w:p>
    <w:p>
      <w:r>
        <w:t>[5] LLM-based test-driven interactive code generation: User study and empirical evaluation. Fakhoury, Sarah; Naik, Aaditya; Sakkas, Georgios; Chakraborty, Saikat; Lahiri, Shuvendu K., 2024. Bibkey: fakhoury_llm-based_2024.</w:t>
      </w:r>
    </w:p>
    <w:p>
      <w:r>
        <w:t>[6] An Empirical Study on Developers’ Shared Conversations with ChatGPT in GitHub Pull Requests and Issues. Hao, Huizi; Hasan, Kazi Amit; Qin, Hong; Macedo, Marcos; Tian, Yuan; Ding, Steven H. H.; Hassan, Ahmed E., 2024. Bibkey: hao_empirical_2024.</w:t>
      </w:r>
    </w:p>
    <w:p>
      <w:r>
        <w:t>[7] Beyond Code Generation: An Observational Study of ChatGPT Usage in Software Engineering Practice. Khojah, Ranim; Mohamad, Mazen; Leitner, Philipp; Neto, Francisco Gomes de Oliveira, 2024. Bibkey: khojah_beyond_2024.</w:t>
      </w:r>
    </w:p>
    <w:p>
      <w:r>
        <w:t>[8] Demystifying Practices, Challenges and Expected Features of Using GitHub Copilot. Zhang, Beiqi; Liang, Peng; Zhou, Xiyu; Ahmad, Aakash; Waseem, Muhammad, 2023. Bibkey: zhang_demystifying_2023.</w:t>
      </w:r>
    </w:p>
    <w:p>
      <w:r>
        <w:t>[9] Why Do Developers Engage with ChatGPT in Issue-Tracker? Investigating Usage and Reliance on ChatGPT-Generated Code. Das, Joy Krishan; Mondal, Saikat; Roy, Chanchal K., 2025. Bibkey: das_why_2025.</w:t>
      </w:r>
    </w:p>
    <w:p>
      <w:r>
        <w:t>[10] CodeAssistBench (CAB): Dataset &amp; Benchmarking for Multi-turn Chat-Based Code Assistance. Kim, Myeongsoo; Garg, Shweta; Ray, Baishakhi; Kumar, Varun; Deoras, Anoop, 2025. Bibkey: kim_codeassistbench_2025.</w:t>
      </w:r>
    </w:p>
    <w:p>
      <w:r>
        <w:t>[11] When Prompts Go Wrong: Evaluating Code Model Robustness to Ambiguous, Contradictory, and Incomplete Task Descriptions. Larbi, Maya; Akli, Amal; Papadakis, Mike; Bouyousfi, Rihab; Cordy, Maxime; Sarro, Federica; Traon, Yves Le, 2025. Bibkey: larbi_when_2025.</w:t>
      </w:r>
    </w:p>
    <w:p>
      <w:r>
        <w:t>[12] NLPerturbator: Studying the Robustness of Code LLMs to Natural Language Variations. Chen, Junkai; Li, Zhenhao; Hu, Xing; Xia, Xin, 2026. Bibkey: chen_nlperturbator_2026.</w:t>
      </w:r>
    </w:p>
    <w:p>
      <w:r>
        <w:t>[13] Refining Critical Thinking in LLM Code Generation: A Faulty Premise-based Evaluation Framework. Li, Jialin; Li, Jinzhe; Li, Gengxu; Chang, Yi; Wu, Yuan, 2025. Bibkey: li_refining_2025.</w:t>
      </w:r>
    </w:p>
    <w:p>
      <w:r>
        <w:t>[14] Can Developers Prompt? A Controlled Experiment for Code Documentation Generation. Kruse, Hans-Alexander; Puhlfürß, Tim; Maalej, Walid, 2024. Bibkey: kruse_can_2024.</w:t>
      </w:r>
    </w:p>
    <w:p>
      <w:r>
        <w:t>[15] Prompting in Practice: Investigating Software Practitioners' Use of Generative AI Tools. Otten, Daniel; Stalnaker, Trevor; Wintersgill, Nathan; Chaparro, Oscar; Poshyvanyk, Denys, 2026. Bibkey: otten_prompting_2026.</w:t>
      </w:r>
    </w:p>
    <w:p>
      <w:r>
        <w:t>[16] Experimental Analysis of Productive Interaction Strategy with ChatGPT: User Study on Function and Project-level Code Generation Tasks. Hyun, Sangwon; Kim, Hyunjun; Jang, Jinhyuk; Choi, Hyojin; Babar, M. Ali, 2025. Bibkey: hyun_experimental_2025.</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