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Phase 1.5 — NB3 HAI CORE: Learning, Novices, and Educational Contexts</w:t>
      </w:r>
    </w:p>
    <w:p>
      <w:r>
        <w:t>Manuscript: AI-Assisted Programming in Software Engineering: A Systematic Literature Review and Socio-Technical Perspective. Evidence is restricted to NB3_HAI_CORE papers and verified bibkeys.</w:t>
      </w:r>
    </w:p>
    <w:p>
      <w:pPr>
        <w:pStyle w:val="Heading1"/>
      </w:pPr>
      <w:r>
        <w:t>1. Evidence matrix</w:t>
      </w:r>
    </w:p>
    <w:tbl>
      <w:tblPr>
        <w:tblStyle w:val="TableGrid"/>
        <w:tblW w:type="auto" w:w="0"/>
        <w:jc w:val="center"/>
        <w:tblLook w:firstColumn="1" w:firstRow="1" w:lastColumn="0" w:lastRow="0" w:noHBand="0" w:noVBand="1" w:val="04A0"/>
      </w:tblPr>
      <w:tblGrid>
        <w:gridCol w:w="1314"/>
        <w:gridCol w:w="1314"/>
        <w:gridCol w:w="1314"/>
        <w:gridCol w:w="1314"/>
        <w:gridCol w:w="1314"/>
        <w:gridCol w:w="1314"/>
        <w:gridCol w:w="1314"/>
        <w:gridCol w:w="1314"/>
      </w:tblGrid>
      <w:tr>
        <w:tc>
          <w:tcPr>
            <w:tcW w:type="dxa" w:w="1314"/>
            <w:vAlign w:val="top"/>
          </w:tcPr>
          <w:p>
            <w:r>
              <w:rPr>
                <w:sz w:val="14"/>
              </w:rPr>
              <w:t>Bibkey</w:t>
            </w:r>
          </w:p>
        </w:tc>
        <w:tc>
          <w:tcPr>
            <w:tcW w:type="dxa" w:w="1314"/>
            <w:vAlign w:val="top"/>
          </w:tcPr>
          <w:p>
            <w:r>
              <w:rPr>
                <w:sz w:val="14"/>
              </w:rPr>
              <w:t>Year</w:t>
            </w:r>
          </w:p>
        </w:tc>
        <w:tc>
          <w:tcPr>
            <w:tcW w:type="dxa" w:w="1314"/>
            <w:vAlign w:val="top"/>
          </w:tcPr>
          <w:p>
            <w:r>
              <w:rPr>
                <w:sz w:val="14"/>
              </w:rPr>
              <w:t>Quality tier</w:t>
            </w:r>
          </w:p>
        </w:tc>
        <w:tc>
          <w:tcPr>
            <w:tcW w:type="dxa" w:w="1314"/>
            <w:vAlign w:val="top"/>
          </w:tcPr>
          <w:p>
            <w:r>
              <w:rPr>
                <w:sz w:val="14"/>
              </w:rPr>
              <w:t>Key finding (own words)</w:t>
            </w:r>
          </w:p>
        </w:tc>
        <w:tc>
          <w:tcPr>
            <w:tcW w:type="dxa" w:w="1314"/>
            <w:vAlign w:val="top"/>
          </w:tcPr>
          <w:p>
            <w:r>
              <w:rPr>
                <w:sz w:val="14"/>
              </w:rPr>
              <w:t>Metric/value</w:t>
            </w:r>
          </w:p>
        </w:tc>
        <w:tc>
          <w:tcPr>
            <w:tcW w:type="dxa" w:w="1314"/>
            <w:vAlign w:val="top"/>
          </w:tcPr>
          <w:p>
            <w:r>
              <w:rPr>
                <w:sz w:val="14"/>
              </w:rPr>
              <w:t>Directionality</w:t>
            </w:r>
          </w:p>
        </w:tc>
        <w:tc>
          <w:tcPr>
            <w:tcW w:type="dxa" w:w="1314"/>
            <w:vAlign w:val="top"/>
          </w:tcPr>
          <w:p>
            <w:r>
              <w:rPr>
                <w:sz w:val="14"/>
              </w:rPr>
              <w:t>PDF section + page</w:t>
            </w:r>
          </w:p>
        </w:tc>
        <w:tc>
          <w:tcPr>
            <w:tcW w:type="dxa" w:w="1314"/>
            <w:vAlign w:val="top"/>
          </w:tcPr>
          <w:p>
            <w:r>
              <w:rPr>
                <w:sz w:val="14"/>
              </w:rPr>
              <w:t>Learning dimension</w:t>
            </w:r>
          </w:p>
        </w:tc>
      </w:tr>
      <w:tr>
        <w:tc>
          <w:tcPr>
            <w:tcW w:type="dxa" w:w="1314"/>
            <w:vAlign w:val="top"/>
          </w:tcPr>
          <w:p>
            <w:r>
              <w:rPr>
                <w:sz w:val="14"/>
              </w:rPr>
              <w:t>prather_its_2024</w:t>
            </w:r>
          </w:p>
        </w:tc>
        <w:tc>
          <w:tcPr>
            <w:tcW w:type="dxa" w:w="1314"/>
            <w:vAlign w:val="top"/>
          </w:tcPr>
          <w:p>
            <w:r>
              <w:rPr>
                <w:sz w:val="14"/>
              </w:rPr>
              <w:t>2024</w:t>
            </w:r>
          </w:p>
        </w:tc>
        <w:tc>
          <w:tcPr>
            <w:tcW w:type="dxa" w:w="1314"/>
            <w:vAlign w:val="top"/>
          </w:tcPr>
          <w:p>
            <w:r>
              <w:rPr>
                <w:sz w:val="14"/>
              </w:rPr>
              <w:t>A1</w:t>
            </w:r>
          </w:p>
        </w:tc>
        <w:tc>
          <w:tcPr>
            <w:tcW w:type="dxa" w:w="1314"/>
            <w:vAlign w:val="top"/>
          </w:tcPr>
          <w:p>
            <w:r>
              <w:rPr>
                <w:sz w:val="14"/>
              </w:rPr>
              <w:t>Novice programmers could use Copilot to progress, but the interaction was fragile: usability depended on students’ ability to interpret suggestions, detect mismatches, and recover when generated code did not match intent.</w:t>
            </w:r>
          </w:p>
        </w:tc>
        <w:tc>
          <w:tcPr>
            <w:tcW w:type="dxa" w:w="1314"/>
            <w:vAlign w:val="top"/>
          </w:tcPr>
          <w:p>
            <w:r>
              <w:rPr>
                <w:sz w:val="14"/>
              </w:rPr>
              <w:t>Qualitative usability study; observed novice interaction problems rather than a simple performance gain.</w:t>
            </w:r>
          </w:p>
        </w:tc>
        <w:tc>
          <w:tcPr>
            <w:tcW w:type="dxa" w:w="1314"/>
            <w:vAlign w:val="top"/>
          </w:tcPr>
          <w:p>
            <w:r>
              <w:rPr>
                <w:sz w:val="14"/>
              </w:rPr>
              <w:t>Mixed / conditional</w:t>
            </w:r>
          </w:p>
        </w:tc>
        <w:tc>
          <w:tcPr>
            <w:tcW w:type="dxa" w:w="1314"/>
            <w:vAlign w:val="top"/>
          </w:tcPr>
          <w:p>
            <w:r>
              <w:rPr>
                <w:sz w:val="14"/>
              </w:rPr>
              <w:t>Results and Discussion, pp. 8-13</w:t>
            </w:r>
          </w:p>
        </w:tc>
        <w:tc>
          <w:tcPr>
            <w:tcW w:type="dxa" w:w="1314"/>
            <w:vAlign w:val="top"/>
          </w:tcPr>
          <w:p>
            <w:r>
              <w:rPr>
                <w:sz w:val="14"/>
              </w:rPr>
              <w:t>onboarding</w:t>
            </w:r>
          </w:p>
        </w:tc>
      </w:tr>
      <w:tr>
        <w:tc>
          <w:tcPr>
            <w:tcW w:type="dxa" w:w="1314"/>
            <w:vAlign w:val="top"/>
          </w:tcPr>
          <w:p>
            <w:r>
              <w:rPr>
                <w:sz w:val="14"/>
              </w:rPr>
              <w:t>savelka_can_2023</w:t>
            </w:r>
          </w:p>
        </w:tc>
        <w:tc>
          <w:tcPr>
            <w:tcW w:type="dxa" w:w="1314"/>
            <w:vAlign w:val="top"/>
          </w:tcPr>
          <w:p>
            <w:r>
              <w:rPr>
                <w:sz w:val="14"/>
              </w:rPr>
              <w:t>2023</w:t>
            </w:r>
          </w:p>
        </w:tc>
        <w:tc>
          <w:tcPr>
            <w:tcW w:type="dxa" w:w="1314"/>
            <w:vAlign w:val="top"/>
          </w:tcPr>
          <w:p>
            <w:r>
              <w:rPr>
                <w:sz w:val="14"/>
              </w:rPr>
              <w:t>A2</w:t>
            </w:r>
          </w:p>
        </w:tc>
        <w:tc>
          <w:tcPr>
            <w:tcW w:type="dxa" w:w="1314"/>
            <w:vAlign w:val="top"/>
          </w:tcPr>
          <w:p>
            <w:r>
              <w:rPr>
                <w:sz w:val="14"/>
              </w:rPr>
              <w:t>GPT models could solve a substantial share of higher-education programming assessment items, showing that generated answers may satisfy task requirements even in course-like settings.</w:t>
            </w:r>
          </w:p>
        </w:tc>
        <w:tc>
          <w:tcPr>
            <w:tcW w:type="dxa" w:w="1314"/>
            <w:vAlign w:val="top"/>
          </w:tcPr>
          <w:p>
            <w:r>
              <w:rPr>
                <w:sz w:val="14"/>
              </w:rPr>
              <w:t>Assessment performance reported across programming-course items; exact rates varied by assessment and model.</w:t>
            </w:r>
          </w:p>
        </w:tc>
        <w:tc>
          <w:tcPr>
            <w:tcW w:type="dxa" w:w="1314"/>
            <w:vAlign w:val="top"/>
          </w:tcPr>
          <w:p>
            <w:r>
              <w:rPr>
                <w:sz w:val="14"/>
              </w:rPr>
              <w:t>Positive for answer generation; indirect for student learning</w:t>
            </w:r>
          </w:p>
        </w:tc>
        <w:tc>
          <w:tcPr>
            <w:tcW w:type="dxa" w:w="1314"/>
            <w:vAlign w:val="top"/>
          </w:tcPr>
          <w:p>
            <w:r>
              <w:rPr>
                <w:sz w:val="14"/>
              </w:rPr>
              <w:t>Results, pp. 5-10</w:t>
            </w:r>
          </w:p>
        </w:tc>
        <w:tc>
          <w:tcPr>
            <w:tcW w:type="dxa" w:w="1314"/>
            <w:vAlign w:val="top"/>
          </w:tcPr>
          <w:p>
            <w:r>
              <w:rPr>
                <w:sz w:val="14"/>
              </w:rPr>
              <w:t>performance</w:t>
            </w:r>
          </w:p>
        </w:tc>
      </w:tr>
      <w:tr>
        <w:tc>
          <w:tcPr>
            <w:tcW w:type="dxa" w:w="1314"/>
            <w:vAlign w:val="top"/>
          </w:tcPr>
          <w:p>
            <w:r>
              <w:rPr>
                <w:sz w:val="14"/>
              </w:rPr>
              <w:t>denny_conversing_2023</w:t>
            </w:r>
          </w:p>
        </w:tc>
        <w:tc>
          <w:tcPr>
            <w:tcW w:type="dxa" w:w="1314"/>
            <w:vAlign w:val="top"/>
          </w:tcPr>
          <w:p>
            <w:r>
              <w:rPr>
                <w:sz w:val="14"/>
              </w:rPr>
              <w:t>2023</w:t>
            </w:r>
          </w:p>
        </w:tc>
        <w:tc>
          <w:tcPr>
            <w:tcW w:type="dxa" w:w="1314"/>
            <w:vAlign w:val="top"/>
          </w:tcPr>
          <w:p>
            <w:r>
              <w:rPr>
                <w:sz w:val="14"/>
              </w:rPr>
              <w:t>A2</w:t>
            </w:r>
          </w:p>
        </w:tc>
        <w:tc>
          <w:tcPr>
            <w:tcW w:type="dxa" w:w="1314"/>
            <w:vAlign w:val="top"/>
          </w:tcPr>
          <w:p>
            <w:r>
              <w:rPr>
                <w:sz w:val="14"/>
              </w:rPr>
              <w:t>Prompting strategies mattered for CS1 problem solving with Copilot: conversational refinement and explicit natural-language problem decomposition improved the chance of obtaining useful code.</w:t>
            </w:r>
          </w:p>
        </w:tc>
        <w:tc>
          <w:tcPr>
            <w:tcW w:type="dxa" w:w="1314"/>
            <w:vAlign w:val="top"/>
          </w:tcPr>
          <w:p>
            <w:r>
              <w:rPr>
                <w:sz w:val="14"/>
              </w:rPr>
              <w:t>Prompt-engineering evaluation over CS1 tasks; performance varied by prompt strategy.</w:t>
            </w:r>
          </w:p>
        </w:tc>
        <w:tc>
          <w:tcPr>
            <w:tcW w:type="dxa" w:w="1314"/>
            <w:vAlign w:val="top"/>
          </w:tcPr>
          <w:p>
            <w:r>
              <w:rPr>
                <w:sz w:val="14"/>
              </w:rPr>
              <w:t>Positive under structured prompting</w:t>
            </w:r>
          </w:p>
        </w:tc>
        <w:tc>
          <w:tcPr>
            <w:tcW w:type="dxa" w:w="1314"/>
            <w:vAlign w:val="top"/>
          </w:tcPr>
          <w:p>
            <w:r>
              <w:rPr>
                <w:sz w:val="14"/>
              </w:rPr>
              <w:t>Results/Evaluation, pp. 6-11</w:t>
            </w:r>
          </w:p>
        </w:tc>
        <w:tc>
          <w:tcPr>
            <w:tcW w:type="dxa" w:w="1314"/>
            <w:vAlign w:val="top"/>
          </w:tcPr>
          <w:p>
            <w:r>
              <w:rPr>
                <w:sz w:val="14"/>
              </w:rPr>
              <w:t>performance</w:t>
            </w:r>
          </w:p>
        </w:tc>
      </w:tr>
      <w:tr>
        <w:tc>
          <w:tcPr>
            <w:tcW w:type="dxa" w:w="1314"/>
            <w:vAlign w:val="top"/>
          </w:tcPr>
          <w:p>
            <w:r>
              <w:rPr>
                <w:sz w:val="14"/>
              </w:rPr>
              <w:t>gardella_performance_2024</w:t>
            </w:r>
          </w:p>
        </w:tc>
        <w:tc>
          <w:tcPr>
            <w:tcW w:type="dxa" w:w="1314"/>
            <w:vAlign w:val="top"/>
          </w:tcPr>
          <w:p>
            <w:r>
              <w:rPr>
                <w:sz w:val="14"/>
              </w:rPr>
              <w:t>2024</w:t>
            </w:r>
          </w:p>
        </w:tc>
        <w:tc>
          <w:tcPr>
            <w:tcW w:type="dxa" w:w="1314"/>
            <w:vAlign w:val="top"/>
          </w:tcPr>
          <w:p>
            <w:r>
              <w:rPr>
                <w:sz w:val="14"/>
              </w:rPr>
              <w:t>A2</w:t>
            </w:r>
          </w:p>
        </w:tc>
        <w:tc>
          <w:tcPr>
            <w:tcW w:type="dxa" w:w="1314"/>
            <w:vAlign w:val="top"/>
          </w:tcPr>
          <w:p>
            <w:r>
              <w:rPr>
                <w:sz w:val="14"/>
              </w:rPr>
              <w:t>AI code generation changed novice programming outcomes unevenly: performance benefits were accompanied by effects on workload, emotion, and self-efficacy rather than only faster completion.</w:t>
            </w:r>
          </w:p>
        </w:tc>
        <w:tc>
          <w:tcPr>
            <w:tcW w:type="dxa" w:w="1314"/>
            <w:vAlign w:val="top"/>
          </w:tcPr>
          <w:p>
            <w:r>
              <w:rPr>
                <w:sz w:val="14"/>
              </w:rPr>
              <w:t>Measured performance, workload, emotion, and self-efficacy with novice programmers.</w:t>
            </w:r>
          </w:p>
        </w:tc>
        <w:tc>
          <w:tcPr>
            <w:tcW w:type="dxa" w:w="1314"/>
            <w:vAlign w:val="top"/>
          </w:tcPr>
          <w:p>
            <w:r>
              <w:rPr>
                <w:sz w:val="14"/>
              </w:rPr>
              <w:t>Mixed / multidimensional</w:t>
            </w:r>
          </w:p>
        </w:tc>
        <w:tc>
          <w:tcPr>
            <w:tcW w:type="dxa" w:w="1314"/>
            <w:vAlign w:val="top"/>
          </w:tcPr>
          <w:p>
            <w:r>
              <w:rPr>
                <w:sz w:val="14"/>
              </w:rPr>
              <w:t>Results, pp. 7-13</w:t>
            </w:r>
          </w:p>
        </w:tc>
        <w:tc>
          <w:tcPr>
            <w:tcW w:type="dxa" w:w="1314"/>
            <w:vAlign w:val="top"/>
          </w:tcPr>
          <w:p>
            <w:r>
              <w:rPr>
                <w:sz w:val="14"/>
              </w:rPr>
              <w:t>metacognition</w:t>
            </w:r>
          </w:p>
        </w:tc>
      </w:tr>
      <w:tr>
        <w:tc>
          <w:tcPr>
            <w:tcW w:type="dxa" w:w="1314"/>
            <w:vAlign w:val="top"/>
          </w:tcPr>
          <w:p>
            <w:r>
              <w:rPr>
                <w:sz w:val="14"/>
              </w:rPr>
              <w:t>vasiliniuc_case_2023</w:t>
            </w:r>
          </w:p>
        </w:tc>
        <w:tc>
          <w:tcPr>
            <w:tcW w:type="dxa" w:w="1314"/>
            <w:vAlign w:val="top"/>
          </w:tcPr>
          <w:p>
            <w:r>
              <w:rPr>
                <w:sz w:val="14"/>
              </w:rPr>
              <w:t>2023</w:t>
            </w:r>
          </w:p>
        </w:tc>
        <w:tc>
          <w:tcPr>
            <w:tcW w:type="dxa" w:w="1314"/>
            <w:vAlign w:val="top"/>
          </w:tcPr>
          <w:p>
            <w:r>
              <w:rPr>
                <w:sz w:val="14"/>
              </w:rPr>
              <w:t>A1</w:t>
            </w:r>
          </w:p>
        </w:tc>
        <w:tc>
          <w:tcPr>
            <w:tcW w:type="dxa" w:w="1314"/>
            <w:vAlign w:val="top"/>
          </w:tcPr>
          <w:p>
            <w:r>
              <w:rPr>
                <w:sz w:val="14"/>
              </w:rPr>
              <w:t>In a mobile-development team context, AI-assisted generation supported task progress but required developer oversight, review, and integration work to make generated code usable.</w:t>
            </w:r>
          </w:p>
        </w:tc>
        <w:tc>
          <w:tcPr>
            <w:tcW w:type="dxa" w:w="1314"/>
            <w:vAlign w:val="top"/>
          </w:tcPr>
          <w:p>
            <w:r>
              <w:rPr>
                <w:sz w:val="14"/>
              </w:rPr>
              <w:t>Case-study evidence from mobile teams; qualitative process findings.</w:t>
            </w:r>
          </w:p>
        </w:tc>
        <w:tc>
          <w:tcPr>
            <w:tcW w:type="dxa" w:w="1314"/>
            <w:vAlign w:val="top"/>
          </w:tcPr>
          <w:p>
            <w:r>
              <w:rPr>
                <w:sz w:val="14"/>
              </w:rPr>
              <w:t>Positive but review-dependent</w:t>
            </w:r>
          </w:p>
        </w:tc>
        <w:tc>
          <w:tcPr>
            <w:tcW w:type="dxa" w:w="1314"/>
            <w:vAlign w:val="top"/>
          </w:tcPr>
          <w:p>
            <w:r>
              <w:rPr>
                <w:sz w:val="14"/>
              </w:rPr>
              <w:t>Findings/Discussion, pp. 4-8</w:t>
            </w:r>
          </w:p>
        </w:tc>
        <w:tc>
          <w:tcPr>
            <w:tcW w:type="dxa" w:w="1314"/>
            <w:vAlign w:val="top"/>
          </w:tcPr>
          <w:p>
            <w:r>
              <w:rPr>
                <w:sz w:val="14"/>
              </w:rPr>
              <w:t>skill development</w:t>
            </w:r>
          </w:p>
        </w:tc>
      </w:tr>
      <w:tr>
        <w:tc>
          <w:tcPr>
            <w:tcW w:type="dxa" w:w="1314"/>
            <w:vAlign w:val="top"/>
          </w:tcPr>
          <w:p>
            <w:r>
              <w:rPr>
                <w:sz w:val="14"/>
              </w:rPr>
              <w:t>lyu_will_2025</w:t>
            </w:r>
          </w:p>
        </w:tc>
        <w:tc>
          <w:tcPr>
            <w:tcW w:type="dxa" w:w="1314"/>
            <w:vAlign w:val="top"/>
          </w:tcPr>
          <w:p>
            <w:r>
              <w:rPr>
                <w:sz w:val="14"/>
              </w:rPr>
              <w:t>2025</w:t>
            </w:r>
          </w:p>
        </w:tc>
        <w:tc>
          <w:tcPr>
            <w:tcW w:type="dxa" w:w="1314"/>
            <w:vAlign w:val="top"/>
          </w:tcPr>
          <w:p>
            <w:r>
              <w:rPr>
                <w:sz w:val="14"/>
              </w:rPr>
              <w:t>A1</w:t>
            </w:r>
          </w:p>
        </w:tc>
        <w:tc>
          <w:tcPr>
            <w:tcW w:type="dxa" w:w="1314"/>
            <w:vAlign w:val="top"/>
          </w:tcPr>
          <w:p>
            <w:r>
              <w:rPr>
                <w:sz w:val="14"/>
              </w:rPr>
              <w:t>In a semester-long classroom setting, generative AI functioned as a collaborative teammate, but its educational value depended on how students coordinated with it rather than merely receiving generated code.</w:t>
            </w:r>
          </w:p>
        </w:tc>
        <w:tc>
          <w:tcPr>
            <w:tcW w:type="dxa" w:w="1314"/>
            <w:vAlign w:val="top"/>
          </w:tcPr>
          <w:p>
            <w:r>
              <w:rPr>
                <w:sz w:val="14"/>
              </w:rPr>
              <w:t>Semester-long empirical classroom evaluation; collaboration and learning process measures.</w:t>
            </w:r>
          </w:p>
        </w:tc>
        <w:tc>
          <w:tcPr>
            <w:tcW w:type="dxa" w:w="1314"/>
            <w:vAlign w:val="top"/>
          </w:tcPr>
          <w:p>
            <w:r>
              <w:rPr>
                <w:sz w:val="14"/>
              </w:rPr>
              <w:t>Conditional / collaboration-dependent</w:t>
            </w:r>
          </w:p>
        </w:tc>
        <w:tc>
          <w:tcPr>
            <w:tcW w:type="dxa" w:w="1314"/>
            <w:vAlign w:val="top"/>
          </w:tcPr>
          <w:p>
            <w:r>
              <w:rPr>
                <w:sz w:val="14"/>
              </w:rPr>
              <w:t>Results and Discussion, pp. 8-17</w:t>
            </w:r>
          </w:p>
        </w:tc>
        <w:tc>
          <w:tcPr>
            <w:tcW w:type="dxa" w:w="1314"/>
            <w:vAlign w:val="top"/>
          </w:tcPr>
          <w:p>
            <w:r>
              <w:rPr>
                <w:sz w:val="14"/>
              </w:rPr>
              <w:t>skill development</w:t>
            </w:r>
          </w:p>
        </w:tc>
      </w:tr>
      <w:tr>
        <w:tc>
          <w:tcPr>
            <w:tcW w:type="dxa" w:w="1314"/>
            <w:vAlign w:val="top"/>
          </w:tcPr>
          <w:p>
            <w:r>
              <w:rPr>
                <w:sz w:val="14"/>
              </w:rPr>
              <w:t>shihab_effects_2025</w:t>
            </w:r>
          </w:p>
        </w:tc>
        <w:tc>
          <w:tcPr>
            <w:tcW w:type="dxa" w:w="1314"/>
            <w:vAlign w:val="top"/>
          </w:tcPr>
          <w:p>
            <w:r>
              <w:rPr>
                <w:sz w:val="14"/>
              </w:rPr>
              <w:t>2025</w:t>
            </w:r>
          </w:p>
        </w:tc>
        <w:tc>
          <w:tcPr>
            <w:tcW w:type="dxa" w:w="1314"/>
            <w:vAlign w:val="top"/>
          </w:tcPr>
          <w:p>
            <w:r>
              <w:rPr>
                <w:sz w:val="14"/>
              </w:rPr>
              <w:t>A2</w:t>
            </w:r>
          </w:p>
        </w:tc>
        <w:tc>
          <w:tcPr>
            <w:tcW w:type="dxa" w:w="1314"/>
            <w:vAlign w:val="top"/>
          </w:tcPr>
          <w:p>
            <w:r>
              <w:rPr>
                <w:sz w:val="14"/>
              </w:rPr>
              <w:t>GitHub Copilot affected students’ programming effectiveness, efficiency, and process, indicating that learning-context effects must be measured through process behaviour as well as final answers.</w:t>
            </w:r>
          </w:p>
        </w:tc>
        <w:tc>
          <w:tcPr>
            <w:tcW w:type="dxa" w:w="1314"/>
            <w:vAlign w:val="top"/>
          </w:tcPr>
          <w:p>
            <w:r>
              <w:rPr>
                <w:sz w:val="14"/>
              </w:rPr>
              <w:t>Student study measuring effectiveness, efficiency, and programming process.</w:t>
            </w:r>
          </w:p>
        </w:tc>
        <w:tc>
          <w:tcPr>
            <w:tcW w:type="dxa" w:w="1314"/>
            <w:vAlign w:val="top"/>
          </w:tcPr>
          <w:p>
            <w:r>
              <w:rPr>
                <w:sz w:val="14"/>
              </w:rPr>
              <w:t>Mixed / process-dependent</w:t>
            </w:r>
          </w:p>
        </w:tc>
        <w:tc>
          <w:tcPr>
            <w:tcW w:type="dxa" w:w="1314"/>
            <w:vAlign w:val="top"/>
          </w:tcPr>
          <w:p>
            <w:r>
              <w:rPr>
                <w:sz w:val="14"/>
              </w:rPr>
              <w:t>Results, pp. 6-14</w:t>
            </w:r>
          </w:p>
        </w:tc>
        <w:tc>
          <w:tcPr>
            <w:tcW w:type="dxa" w:w="1314"/>
            <w:vAlign w:val="top"/>
          </w:tcPr>
          <w:p>
            <w:r>
              <w:rPr>
                <w:sz w:val="14"/>
              </w:rPr>
              <w:t>performance</w:t>
            </w:r>
          </w:p>
        </w:tc>
      </w:tr>
      <w:tr>
        <w:tc>
          <w:tcPr>
            <w:tcW w:type="dxa" w:w="1314"/>
            <w:vAlign w:val="top"/>
          </w:tcPr>
          <w:p>
            <w:r>
              <w:rPr>
                <w:sz w:val="14"/>
              </w:rPr>
              <w:t>qiao_comprehension-performance_2025</w:t>
            </w:r>
          </w:p>
        </w:tc>
        <w:tc>
          <w:tcPr>
            <w:tcW w:type="dxa" w:w="1314"/>
            <w:vAlign w:val="top"/>
          </w:tcPr>
          <w:p>
            <w:r>
              <w:rPr>
                <w:sz w:val="14"/>
              </w:rPr>
              <w:t>2025</w:t>
            </w:r>
          </w:p>
        </w:tc>
        <w:tc>
          <w:tcPr>
            <w:tcW w:type="dxa" w:w="1314"/>
            <w:vAlign w:val="top"/>
          </w:tcPr>
          <w:p>
            <w:r>
              <w:rPr>
                <w:sz w:val="14"/>
              </w:rPr>
              <w:t>A1</w:t>
            </w:r>
          </w:p>
        </w:tc>
        <w:tc>
          <w:tcPr>
            <w:tcW w:type="dxa" w:w="1314"/>
            <w:vAlign w:val="top"/>
          </w:tcPr>
          <w:p>
            <w:r>
              <w:rPr>
                <w:sz w:val="14"/>
              </w:rPr>
              <w:t>The study identifies a comprehension-performance gap: GenAI assistance can improve task performance in brownfield programming while leaving weaker understanding of the modified code.</w:t>
            </w:r>
          </w:p>
        </w:tc>
        <w:tc>
          <w:tcPr>
            <w:tcW w:type="dxa" w:w="1314"/>
            <w:vAlign w:val="top"/>
          </w:tcPr>
          <w:p>
            <w:r>
              <w:rPr>
                <w:sz w:val="14"/>
              </w:rPr>
              <w:t>Replication and extension explicitly measuring performance and comprehension.</w:t>
            </w:r>
          </w:p>
        </w:tc>
        <w:tc>
          <w:tcPr>
            <w:tcW w:type="dxa" w:w="1314"/>
            <w:vAlign w:val="top"/>
          </w:tcPr>
          <w:p>
            <w:r>
              <w:rPr>
                <w:sz w:val="14"/>
              </w:rPr>
              <w:t>Positive for performance; negative/limited for comprehension</w:t>
            </w:r>
          </w:p>
        </w:tc>
        <w:tc>
          <w:tcPr>
            <w:tcW w:type="dxa" w:w="1314"/>
            <w:vAlign w:val="top"/>
          </w:tcPr>
          <w:p>
            <w:r>
              <w:rPr>
                <w:sz w:val="14"/>
              </w:rPr>
              <w:t>Results/RQs, pp. 7-14</w:t>
            </w:r>
          </w:p>
        </w:tc>
        <w:tc>
          <w:tcPr>
            <w:tcW w:type="dxa" w:w="1314"/>
            <w:vAlign w:val="top"/>
          </w:tcPr>
          <w:p>
            <w:r>
              <w:rPr>
                <w:sz w:val="14"/>
              </w:rPr>
              <w:t>comprehension</w:t>
            </w:r>
          </w:p>
        </w:tc>
      </w:tr>
      <w:tr>
        <w:tc>
          <w:tcPr>
            <w:tcW w:type="dxa" w:w="1314"/>
            <w:vAlign w:val="top"/>
          </w:tcPr>
          <w:p>
            <w:r>
              <w:rPr>
                <w:sz w:val="14"/>
              </w:rPr>
              <w:t>shah_students_2025</w:t>
            </w:r>
          </w:p>
        </w:tc>
        <w:tc>
          <w:tcPr>
            <w:tcW w:type="dxa" w:w="1314"/>
            <w:vAlign w:val="top"/>
          </w:tcPr>
          <w:p>
            <w:r>
              <w:rPr>
                <w:sz w:val="14"/>
              </w:rPr>
              <w:t>2025</w:t>
            </w:r>
          </w:p>
        </w:tc>
        <w:tc>
          <w:tcPr>
            <w:tcW w:type="dxa" w:w="1314"/>
            <w:vAlign w:val="top"/>
          </w:tcPr>
          <w:p>
            <w:r>
              <w:rPr>
                <w:sz w:val="14"/>
              </w:rPr>
              <w:t>A2</w:t>
            </w:r>
          </w:p>
        </w:tc>
        <w:tc>
          <w:tcPr>
            <w:tcW w:type="dxa" w:w="1314"/>
            <w:vAlign w:val="top"/>
          </w:tcPr>
          <w:p>
            <w:r>
              <w:rPr>
                <w:sz w:val="14"/>
              </w:rPr>
              <w:t>When students used Copilot on large code bases, assistance shifted work toward navigation, interpretation, and integration, making comprehension of unfamiliar context a central constraint.</w:t>
            </w:r>
          </w:p>
        </w:tc>
        <w:tc>
          <w:tcPr>
            <w:tcW w:type="dxa" w:w="1314"/>
            <w:vAlign w:val="top"/>
          </w:tcPr>
          <w:p>
            <w:r>
              <w:rPr>
                <w:sz w:val="14"/>
              </w:rPr>
              <w:t>Empirical study of students using Copilot with large code bases.</w:t>
            </w:r>
          </w:p>
        </w:tc>
        <w:tc>
          <w:tcPr>
            <w:tcW w:type="dxa" w:w="1314"/>
            <w:vAlign w:val="top"/>
          </w:tcPr>
          <w:p>
            <w:r>
              <w:rPr>
                <w:sz w:val="14"/>
              </w:rPr>
              <w:t>Conditional / comprehension-limited</w:t>
            </w:r>
          </w:p>
        </w:tc>
        <w:tc>
          <w:tcPr>
            <w:tcW w:type="dxa" w:w="1314"/>
            <w:vAlign w:val="top"/>
          </w:tcPr>
          <w:p>
            <w:r>
              <w:rPr>
                <w:sz w:val="14"/>
              </w:rPr>
              <w:t>Findings, pp. 5-12</w:t>
            </w:r>
          </w:p>
        </w:tc>
        <w:tc>
          <w:tcPr>
            <w:tcW w:type="dxa" w:w="1314"/>
            <w:vAlign w:val="top"/>
          </w:tcPr>
          <w:p>
            <w:r>
              <w:rPr>
                <w:sz w:val="14"/>
              </w:rPr>
              <w:t>comprehension</w:t>
            </w:r>
          </w:p>
        </w:tc>
      </w:tr>
      <w:tr>
        <w:tc>
          <w:tcPr>
            <w:tcW w:type="dxa" w:w="1314"/>
            <w:vAlign w:val="top"/>
          </w:tcPr>
          <w:p>
            <w:r>
              <w:rPr>
                <w:sz w:val="14"/>
              </w:rPr>
              <w:t>yang_cref_2024</w:t>
            </w:r>
          </w:p>
        </w:tc>
        <w:tc>
          <w:tcPr>
            <w:tcW w:type="dxa" w:w="1314"/>
            <w:vAlign w:val="top"/>
          </w:tcPr>
          <w:p>
            <w:r>
              <w:rPr>
                <w:sz w:val="14"/>
              </w:rPr>
              <w:t>2024</w:t>
            </w:r>
          </w:p>
        </w:tc>
        <w:tc>
          <w:tcPr>
            <w:tcW w:type="dxa" w:w="1314"/>
            <w:vAlign w:val="top"/>
          </w:tcPr>
          <w:p>
            <w:r>
              <w:rPr>
                <w:sz w:val="14"/>
              </w:rPr>
              <w:t>A1</w:t>
            </w:r>
          </w:p>
        </w:tc>
        <w:tc>
          <w:tcPr>
            <w:tcW w:type="dxa" w:w="1314"/>
            <w:vAlign w:val="top"/>
          </w:tcPr>
          <w:p>
            <w:r>
              <w:rPr>
                <w:sz w:val="14"/>
              </w:rPr>
              <w:t>CREF frames conversational repair as support for programming tutors, suggesting that educational AI is more useful when it helps diagnose and repair code through dialogue rather than only generating final solutions.</w:t>
            </w:r>
          </w:p>
        </w:tc>
        <w:tc>
          <w:tcPr>
            <w:tcW w:type="dxa" w:w="1314"/>
            <w:vAlign w:val="top"/>
          </w:tcPr>
          <w:p>
            <w:r>
              <w:rPr>
                <w:sz w:val="14"/>
              </w:rPr>
              <w:t>Framework evaluation for conversational software repair in programming tutoring.</w:t>
            </w:r>
          </w:p>
        </w:tc>
        <w:tc>
          <w:tcPr>
            <w:tcW w:type="dxa" w:w="1314"/>
            <w:vAlign w:val="top"/>
          </w:tcPr>
          <w:p>
            <w:r>
              <w:rPr>
                <w:sz w:val="14"/>
              </w:rPr>
              <w:t>Positive for guided repair</w:t>
            </w:r>
          </w:p>
        </w:tc>
        <w:tc>
          <w:tcPr>
            <w:tcW w:type="dxa" w:w="1314"/>
            <w:vAlign w:val="top"/>
          </w:tcPr>
          <w:p>
            <w:r>
              <w:rPr>
                <w:sz w:val="14"/>
              </w:rPr>
              <w:t>Evaluation, pp. 6-11</w:t>
            </w:r>
          </w:p>
        </w:tc>
        <w:tc>
          <w:tcPr>
            <w:tcW w:type="dxa" w:w="1314"/>
            <w:vAlign w:val="top"/>
          </w:tcPr>
          <w:p>
            <w:r>
              <w:rPr>
                <w:sz w:val="14"/>
              </w:rPr>
              <w:t>onboarding</w:t>
            </w:r>
          </w:p>
        </w:tc>
      </w:tr>
      <w:tr>
        <w:tc>
          <w:tcPr>
            <w:tcW w:type="dxa" w:w="1314"/>
            <w:vAlign w:val="top"/>
          </w:tcPr>
          <w:p>
            <w:r>
              <w:rPr>
                <w:sz w:val="14"/>
              </w:rPr>
              <w:t>mailach_ok_2025</w:t>
            </w:r>
          </w:p>
        </w:tc>
        <w:tc>
          <w:tcPr>
            <w:tcW w:type="dxa" w:w="1314"/>
            <w:vAlign w:val="top"/>
          </w:tcPr>
          <w:p>
            <w:r>
              <w:rPr>
                <w:sz w:val="14"/>
              </w:rPr>
              <w:t>2025</w:t>
            </w:r>
          </w:p>
        </w:tc>
        <w:tc>
          <w:tcPr>
            <w:tcW w:type="dxa" w:w="1314"/>
            <w:vAlign w:val="top"/>
          </w:tcPr>
          <w:p>
            <w:r>
              <w:rPr>
                <w:sz w:val="14"/>
              </w:rPr>
              <w:t>A1</w:t>
            </w:r>
          </w:p>
        </w:tc>
        <w:tc>
          <w:tcPr>
            <w:tcW w:type="dxa" w:w="1314"/>
            <w:vAlign w:val="top"/>
          </w:tcPr>
          <w:p>
            <w:r>
              <w:rPr>
                <w:sz w:val="14"/>
              </w:rPr>
              <w:t>Programming beginners used the conversational assistant through identifiable interaction patterns, showing that learning support involves how novices ask, negotiate, and validate help, not only whether code is produced.</w:t>
            </w:r>
          </w:p>
        </w:tc>
        <w:tc>
          <w:tcPr>
            <w:tcW w:type="dxa" w:w="1314"/>
            <w:vAlign w:val="top"/>
          </w:tcPr>
          <w:p>
            <w:r>
              <w:rPr>
                <w:sz w:val="14"/>
              </w:rPr>
              <w:t>Interaction-pattern analysis of programming beginners using a conversational assistant.</w:t>
            </w:r>
          </w:p>
        </w:tc>
        <w:tc>
          <w:tcPr>
            <w:tcW w:type="dxa" w:w="1314"/>
            <w:vAlign w:val="top"/>
          </w:tcPr>
          <w:p>
            <w:r>
              <w:rPr>
                <w:sz w:val="14"/>
              </w:rPr>
              <w:t>Process-oriented / conditional</w:t>
            </w:r>
          </w:p>
        </w:tc>
        <w:tc>
          <w:tcPr>
            <w:tcW w:type="dxa" w:w="1314"/>
            <w:vAlign w:val="top"/>
          </w:tcPr>
          <w:p>
            <w:r>
              <w:rPr>
                <w:sz w:val="14"/>
              </w:rPr>
              <w:t>Findings, pp. 6-15</w:t>
            </w:r>
          </w:p>
        </w:tc>
        <w:tc>
          <w:tcPr>
            <w:tcW w:type="dxa" w:w="1314"/>
            <w:vAlign w:val="top"/>
          </w:tcPr>
          <w:p>
            <w:r>
              <w:rPr>
                <w:sz w:val="14"/>
              </w:rPr>
              <w:t>metacognition</w:t>
            </w:r>
          </w:p>
        </w:tc>
      </w:tr>
    </w:tbl>
    <w:p>
      <w:pPr>
        <w:pStyle w:val="Heading1"/>
      </w:pPr>
      <w:r>
        <w:t>2. Analytical narrative</w:t>
      </w:r>
    </w:p>
    <w:p>
      <w:r>
        <w:t>Performance effects in the HAI CORE educational subset are best read as conditional, not uniformly positive. In assessment-like settings, generative models can produce answers that satisfy many programming-course requirements, which means that AI assistance can raise apparent task performance even before a learner has developed durable competence [1]. Similarly, CS1-oriented work on Copilot shows that novices benefit more when prompting is structured as conversational refinement and problem decomposition rather than as a single request for a finished solution [2]. Student studies of Copilot also suggest that effectiveness and efficiency need to be interpreted alongside process traces, because a completed task may conceal different pathways of search, acceptance, debugging, and editing [3]. Gardella et al. add an important human factor: novice outcomes are entangled with workload, emotion, and self-efficacy, so an educational gain cannot be reduced to faster completion or a higher pass rate [4].</w:t>
      </w:r>
    </w:p>
    <w:p>
      <w:r>
        <w:t>The clearest analytical risk is the comprehension-performance gap. Qiao et al. explicitly show that GenAI assistance in brownfield programming can separate doing from understanding: students may achieve better task progress while retaining weaker comprehension of the modified or generated code [5]. Shah et al. reach a compatible conclusion in the context of large code bases, where Copilot support shifts the task from writing isolated snippets towards navigating unfamiliar structure, interpreting local context, and integrating suggestions into an existing system [6]. These findings matter for HAI because the interaction target is not only code generation but also sense-making. A tool that helps a novice reach a working state may still leave them unable to explain dependencies, anticipate side effects, or judge whether the generated solution fits the surrounding design.</w:t>
      </w:r>
    </w:p>
    <w:p>
      <w:r>
        <w:t>Metacognitive and skill-development effects are therefore ambivalent. Prather et al. show that novices can experience Copilot as surprisingly responsive, yet also struggle when suggestions appear plausible but misaligned with intent; usability depends on interpretation, verification, and recovery strategies [7]. Mailach et al. similarly show that beginners’ interactions with a conversational programming assistant follow recognisable patterns of asking, negotiating, and validating help, which makes the learning process dialogic rather than purely automatable [8]. In a semester-long classroom setting, Lyu et al. frame generative AI as a collaborative teammate, but the educational value depends on how students coordinate work with the assistant and whether the collaboration supports reflection rather than delegation [9]. These studies point to a central HAI mechanism: students are not passive recipients of code; they are learning to manage an unreliable partner.</w:t>
      </w:r>
    </w:p>
    <w:p>
      <w:r>
        <w:t>The design implication is that educational AI tools should be embedded in scaffolds that make reasoning visible. CREF’s conversational repair orientation is relevant here because it treats tutoring as diagnosis and dialogue around code defects, rather than as one-shot answer production [10]. Vasiliniuc and Groza’s mobile-team case further reinforces that generated code requires review and integration work before it becomes educationally or technically useful [11]. Across the subset, beneficial conditions include explicit prompting practice, requirements to explain accepted code, instructor-visible process evidence, reflection on failed suggestions, and tasks that assess comprehension separately from output correctness. Conversely, unrestricted answer generation risks inflating performance metrics while weakening the evidence that students can read, adapt, and maintain the code they submit. The HAI contribution of this subset is therefore not a simple claim that AI helps or harms novices. It shows that interaction design determines whether AI becomes a scaffold for learning or a shortcut around the cognitive work that programming education is meant to develop.</w:t>
      </w:r>
    </w:p>
    <w:p>
      <w:pPr>
        <w:pStyle w:val="Heading1"/>
      </w:pPr>
      <w:r>
        <w:t>3. Self-contained note</w:t>
      </w:r>
    </w:p>
    <w:p>
      <w:r>
        <w:t>This sub-topic contributes to the HAI CORE evidence base by isolating the learner-facing interaction problem: AI assistance can improve visible programming performance, but the human-AI relation is mediated by prompting skill, verification behaviour, comprehension of generated code, and classroom scaffolding. The CORE evidence is strongest for conditional performance effects, process-level interaction patterns, and the comprehension-performance gap; it is thinner on longitudinal retention, transfer to unaided programming, instructor assessment practices, and equity across different novice populations. NB4 SUPPORT should therefore triangulate whether these educational mechanisms persist across broader instructional designs, different course levels, and non-student novice developer contexts.</w:t>
      </w:r>
    </w:p>
    <w:p>
      <w:pPr>
        <w:pStyle w:val="Heading1"/>
      </w:pPr>
      <w:r>
        <w:t>4. References</w:t>
      </w:r>
    </w:p>
    <w:p>
      <w:r>
        <w:t>[1] Can Generative Pre-trained Transformers (GPT) Pass Assessments in Higher Education Programming Courses?. Savelka, Jaromir; Agarwal, Arav; Bogart, Christopher; Song, Yifan; Sakr, Majd, 2023. Bibkey: savelka_can_2023.</w:t>
      </w:r>
    </w:p>
    <w:p>
      <w:r>
        <w:t>[2] Conversing with Copilot: Exploring Prompt Engineering for Solving CS1 Problems Using Natural Language. Denny, Paul; Kumar, Viraj; Giacaman, Nasser, 2023. Bibkey: denny_conversing_2023.</w:t>
      </w:r>
    </w:p>
    <w:p>
      <w:r>
        <w:t>[3] The Effects of GitHub Copilot on Computing Students' Programming Effectiveness, Efficiency, and Processes in Brownfield Coding Tasks. Shihab, Md Istiak Hossain; Hundhausen, Christopher; Tariq, Ahsun; Haque, Summit; Qiao, Yunhan; Mulanda, Brian Wise, 2025. Bibkey: shihab_effects_2025.</w:t>
      </w:r>
    </w:p>
    <w:p>
      <w:r>
        <w:t>[4] Performance, Workload, Emotion, and Self-Efficacy of Novice Programmers Using AI Code Generation. Gardella, Nicholas; Pettit, Raymond; Riggs, Sara L., 2024. Bibkey: gardella_performance_2024.</w:t>
      </w:r>
    </w:p>
    <w:p>
      <w:r>
        <w:t>[5] Comprehension-Performance Gap in GenAI-Assisted Brownfield Programming: A Replication and Extension. Qiao, Yunhan; Hundhausen, Christopher; Haque, Summit; Shihab, Md Istiak Hossain, 2025. Bibkey: qiao_comprehension-performance_2025.</w:t>
      </w:r>
    </w:p>
    <w:p>
      <w:r>
        <w:t>[6] Students' Use of GitHub Copilot for Working with Large Code Bases. Shah, Anshul; Chernova, Anya; Tomson, Elena; Porter, Leo; Griswold, William G.; Soosai Raj, Adalbert Gerald, 2025. Bibkey: shah_students_2025.</w:t>
      </w:r>
    </w:p>
    <w:p>
      <w:r>
        <w:t>[7] “It’s Weird That it Knows What I Want”: Usability and Interactions with Copilot for Novice Programmers. Prather, James; Reeves, Brent N.; Denny, Paul; Becker, Brett A.; Leinonen, Juho; Luxton-Reilly, Andrew; Powell, Garrett; Finnie-Ansley, James; Santos, Eddie Antonio, 2024. Bibkey: prather_its_2024.</w:t>
      </w:r>
    </w:p>
    <w:p>
      <w:r>
        <w:t>[8] “Ok Pal, We Have to Code That Now”: Interaction Patterns of Programming Beginners with a Conversational Chatbot. Mailach, Alina; Gorgosch, Dominik; Siegmund, Norbert; Siegmund, Janet, 2025. Bibkey: mailach_ok_2025.</w:t>
      </w:r>
    </w:p>
    <w:p>
      <w:r>
        <w:t>[9] Will Your Next Pair Programming Partner Be Human? An Empirical Evaluation of Generative AI as a Collaborative Teammate in a Semester-Long Classroom Setting. Lyu, Wenhan; Wang, Yimeng; Sun, Yifan; Zhang, Yixuan, 2025. Bibkey: lyu_will_2025.</w:t>
      </w:r>
    </w:p>
    <w:p>
      <w:r>
        <w:t>[10] CREF: An LLM-Based Conversational Software Repair Framework for Programming Tutors. Yang, Bin; Tian, Hao; Pian, Weiguo; Yu, Haoran; Wang, Haitao; Klein, Jacques; Bissyandé, Tegawendé F.; Jin, Shiqi, 2024. Bibkey: yang_cref_2024.</w:t>
      </w:r>
    </w:p>
    <w:p>
      <w:r>
        <w:t>[11] Case Study: Using AI-Assisted Code Generation In Mobile Teams. Vasiliniuc, Mircea-Serban; Groza, Adrian, 2023. Bibkey: vasiliniuc_case_2023.</w:t>
      </w:r>
    </w:p>
    <w:p>
      <w:pPr>
        <w:pStyle w:val="Heading1"/>
      </w:pPr>
      <w:r>
        <w:t>5. Self-validation pass</w:t>
      </w:r>
    </w:p>
    <w:p>
      <w:pPr>
        <w:pStyle w:val="ListBullet"/>
      </w:pPr>
      <w:r>
        <w:t>All inline bibkeys cited in the narrative exist literally in NB3_HAI_CORE.bib.</w:t>
      </w:r>
    </w:p>
    <w:p>
      <w:pPr>
        <w:pStyle w:val="ListBullet"/>
      </w:pPr>
      <w:r>
        <w:t>Quality tiers are copied from column S (Clasificación) in Relación de Estudios.xlsx and use only A1, A2, or B.</w:t>
      </w:r>
    </w:p>
    <w:p>
      <w:pPr>
        <w:pStyle w:val="ListBullet"/>
      </w:pPr>
      <w:r>
        <w:t>References use bibkeys from the BIB and bibliographic title, author, and year fields from the CSV via the Zotero key mapping.</w:t>
      </w:r>
    </w:p>
    <w:p>
      <w:pPr>
        <w:pStyle w:val="ListBullet"/>
      </w:pPr>
      <w:r>
        <w:t>No paper is used to anchor more than five claims/items.</w:t>
      </w:r>
    </w:p>
    <w:p>
      <w:pPr>
        <w:pStyle w:val="ListBullet"/>
      </w:pPr>
      <w:r>
        <w:t>Claims in the narrative are restricted to the evidence matrix and are phrased cautiously where exact numeric values were not extracted.</w:t>
      </w:r>
    </w:p>
    <w:p>
      <w:pPr>
        <w:pStyle w:val="ListBullet"/>
      </w:pPr>
      <w:r>
        <w:t>British English spelling is used throughout.</w:t>
      </w:r>
    </w:p>
    <w:sectPr w:rsidR="00FC693F" w:rsidRPr="0006063C" w:rsidSect="00034616">
      <w:pgSz w:w="12240" w:h="15840"/>
      <w:pgMar w:top="1008" w:right="864" w:bottom="1008"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rial" w:hAnsi="Arial"/>
      <w:sz w:val="18"/>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rial" w:hAnsi="Arial"/>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rial" w:hAnsi="Arial"/>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