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1.6 - NB3 HAI CORE: Robustness, Prompt Sensitivity, and Agentic Reliability</w:t>
      </w:r>
    </w:p>
    <w:p>
      <w:r>
        <w:t>Scope: NB3_HAI_CORE only. Evidence is restricted to the 60-paper HAI CORE corpus, with bibkeys verified against NB3_HAI_CORE.bib, quality tiers taken from column S of Relación de Estudios.xlsx, and bibliographic metadata taken from NB3_HAI_CORE.csv via Zotero key mapping.</w:t>
      </w:r>
    </w:p>
    <w:p>
      <w:pPr>
        <w:pStyle w:val="Heading1"/>
      </w:pPr>
      <w:r>
        <w:t>1. Evidence matrix</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top"/>
          </w:tcPr>
          <w:p>
            <w:r>
              <w:rPr>
                <w:sz w:val="14"/>
              </w:rPr>
              <w:t>Bibkey</w:t>
            </w:r>
          </w:p>
        </w:tc>
        <w:tc>
          <w:tcPr>
            <w:tcW w:type="dxa" w:w="1296"/>
            <w:vAlign w:val="top"/>
          </w:tcPr>
          <w:p>
            <w:r>
              <w:rPr>
                <w:sz w:val="14"/>
              </w:rPr>
              <w:t>Year</w:t>
            </w:r>
          </w:p>
        </w:tc>
        <w:tc>
          <w:tcPr>
            <w:tcW w:type="dxa" w:w="1296"/>
            <w:vAlign w:val="top"/>
          </w:tcPr>
          <w:p>
            <w:r>
              <w:rPr>
                <w:sz w:val="14"/>
              </w:rPr>
              <w:t>Quality tier (A1/A2/B only)</w:t>
            </w:r>
          </w:p>
        </w:tc>
        <w:tc>
          <w:tcPr>
            <w:tcW w:type="dxa" w:w="1296"/>
            <w:vAlign w:val="top"/>
          </w:tcPr>
          <w:p>
            <w:r>
              <w:rPr>
                <w:sz w:val="14"/>
              </w:rPr>
              <w:t>Key finding (own words)</w:t>
            </w:r>
          </w:p>
        </w:tc>
        <w:tc>
          <w:tcPr>
            <w:tcW w:type="dxa" w:w="1296"/>
            <w:vAlign w:val="top"/>
          </w:tcPr>
          <w:p>
            <w:r>
              <w:rPr>
                <w:sz w:val="14"/>
              </w:rPr>
              <w:t>Metric/value</w:t>
            </w:r>
          </w:p>
        </w:tc>
        <w:tc>
          <w:tcPr>
            <w:tcW w:type="dxa" w:w="1296"/>
            <w:vAlign w:val="top"/>
          </w:tcPr>
          <w:p>
            <w:r>
              <w:rPr>
                <w:sz w:val="14"/>
              </w:rPr>
              <w:t>Directionality</w:t>
            </w:r>
          </w:p>
        </w:tc>
        <w:tc>
          <w:tcPr>
            <w:tcW w:type="dxa" w:w="1296"/>
            <w:vAlign w:val="top"/>
          </w:tcPr>
          <w:p>
            <w:r>
              <w:rPr>
                <w:sz w:val="14"/>
              </w:rPr>
              <w:t>PDF section + page</w:t>
            </w:r>
          </w:p>
        </w:tc>
        <w:tc>
          <w:tcPr>
            <w:tcW w:type="dxa" w:w="1296"/>
            <w:vAlign w:val="top"/>
          </w:tcPr>
          <w:p>
            <w:r>
              <w:rPr>
                <w:sz w:val="14"/>
              </w:rPr>
              <w:t>Robustness dimension</w:t>
            </w:r>
          </w:p>
        </w:tc>
      </w:tr>
      <w:tr>
        <w:tc>
          <w:tcPr>
            <w:tcW w:type="dxa" w:w="1296"/>
            <w:vAlign w:val="top"/>
          </w:tcPr>
          <w:p>
            <w:r>
              <w:rPr>
                <w:sz w:val="14"/>
              </w:rPr>
              <w:t>larbi_when_2025</w:t>
            </w:r>
          </w:p>
        </w:tc>
        <w:tc>
          <w:tcPr>
            <w:tcW w:type="dxa" w:w="1296"/>
            <w:vAlign w:val="top"/>
          </w:tcPr>
          <w:p>
            <w:r>
              <w:rPr>
                <w:sz w:val="14"/>
              </w:rPr>
              <w:t>2025</w:t>
            </w:r>
          </w:p>
        </w:tc>
        <w:tc>
          <w:tcPr>
            <w:tcW w:type="dxa" w:w="1296"/>
            <w:vAlign w:val="top"/>
          </w:tcPr>
          <w:p>
            <w:r>
              <w:rPr>
                <w:sz w:val="14"/>
              </w:rPr>
              <w:t>A1</w:t>
            </w:r>
          </w:p>
        </w:tc>
        <w:tc>
          <w:tcPr>
            <w:tcW w:type="dxa" w:w="1296"/>
            <w:vAlign w:val="top"/>
          </w:tcPr>
          <w:p>
            <w:r>
              <w:rPr>
                <w:sz w:val="14"/>
              </w:rPr>
              <w:t>Low-quality task descriptions substantially reduce generated-code reliability; models are especially brittle with ambiguity, contradiction, and incompleteness rather than merely noisy wording.</w:t>
            </w:r>
          </w:p>
        </w:tc>
        <w:tc>
          <w:tcPr>
            <w:tcW w:type="dxa" w:w="1296"/>
            <w:vAlign w:val="top"/>
          </w:tcPr>
          <w:p>
            <w:r>
              <w:rPr>
                <w:sz w:val="14"/>
              </w:rPr>
              <w:t>SER and pass@1 reported across MBPP and HumanEval under ambiguous, contradictory, and incomplete descriptions; issue-detection accuracy also reported.</w:t>
            </w:r>
          </w:p>
        </w:tc>
        <w:tc>
          <w:tcPr>
            <w:tcW w:type="dxa" w:w="1296"/>
            <w:vAlign w:val="top"/>
          </w:tcPr>
          <w:p>
            <w:r>
              <w:rPr>
                <w:sz w:val="14"/>
              </w:rPr>
              <w:t>Negative: poorer task-description quality lowers execution/correctness and exposes limited issue recognition.</w:t>
            </w:r>
          </w:p>
        </w:tc>
        <w:tc>
          <w:tcPr>
            <w:tcW w:type="dxa" w:w="1296"/>
            <w:vAlign w:val="top"/>
          </w:tcPr>
          <w:p>
            <w:r>
              <w:rPr>
                <w:sz w:val="14"/>
              </w:rPr>
              <w:t>RQ framing, methodology and results, pp. 5-9</w:t>
            </w:r>
          </w:p>
        </w:tc>
        <w:tc>
          <w:tcPr>
            <w:tcW w:type="dxa" w:w="1296"/>
            <w:vAlign w:val="top"/>
          </w:tcPr>
          <w:p>
            <w:r>
              <w:rPr>
                <w:sz w:val="14"/>
              </w:rPr>
              <w:t>prompt sensitivity</w:t>
            </w:r>
          </w:p>
        </w:tc>
      </w:tr>
      <w:tr>
        <w:tc>
          <w:tcPr>
            <w:tcW w:type="dxa" w:w="1296"/>
            <w:vAlign w:val="top"/>
          </w:tcPr>
          <w:p>
            <w:r>
              <w:rPr>
                <w:sz w:val="14"/>
              </w:rPr>
              <w:t>chen_nlperturbator_2026</w:t>
            </w:r>
          </w:p>
        </w:tc>
        <w:tc>
          <w:tcPr>
            <w:tcW w:type="dxa" w:w="1296"/>
            <w:vAlign w:val="top"/>
          </w:tcPr>
          <w:p>
            <w:r>
              <w:rPr>
                <w:sz w:val="14"/>
              </w:rPr>
              <w:t>2026</w:t>
            </w:r>
          </w:p>
        </w:tc>
        <w:tc>
          <w:tcPr>
            <w:tcW w:type="dxa" w:w="1296"/>
            <w:vAlign w:val="top"/>
          </w:tcPr>
          <w:p>
            <w:r>
              <w:rPr>
                <w:sz w:val="14"/>
              </w:rPr>
              <w:t>A1</w:t>
            </w:r>
          </w:p>
        </w:tc>
        <w:tc>
          <w:tcPr>
            <w:tcW w:type="dxa" w:w="1296"/>
            <w:vAlign w:val="top"/>
          </w:tcPr>
          <w:p>
            <w:r>
              <w:rPr>
                <w:sz w:val="14"/>
              </w:rPr>
              <w:t>Natural-language perturbations that preserve intended semantics still change code-generation outcomes, showing that formulation choices can affect whether developers receive correct code.</w:t>
            </w:r>
          </w:p>
        </w:tc>
        <w:tc>
          <w:tcPr>
            <w:tcW w:type="dxa" w:w="1296"/>
            <w:vAlign w:val="top"/>
          </w:tcPr>
          <w:p>
            <w:r>
              <w:rPr>
                <w:sz w:val="14"/>
              </w:rPr>
              <w:t>Seven code LLMs evaluated with Pass@1 against original and perturbed prompts over practitioner-validated perturbation categories.</w:t>
            </w:r>
          </w:p>
        </w:tc>
        <w:tc>
          <w:tcPr>
            <w:tcW w:type="dxa" w:w="1296"/>
            <w:vAlign w:val="top"/>
          </w:tcPr>
          <w:p>
            <w:r>
              <w:rPr>
                <w:sz w:val="14"/>
              </w:rPr>
              <w:t>Negative: semantically similar prompts can reduce or vary correctness.</w:t>
            </w:r>
          </w:p>
        </w:tc>
        <w:tc>
          <w:tcPr>
            <w:tcW w:type="dxa" w:w="1296"/>
            <w:vAlign w:val="top"/>
          </w:tcPr>
          <w:p>
            <w:r>
              <w:rPr>
                <w:sz w:val="14"/>
              </w:rPr>
              <w:t>Evaluation and Results, pp. 8-16</w:t>
            </w:r>
          </w:p>
        </w:tc>
        <w:tc>
          <w:tcPr>
            <w:tcW w:type="dxa" w:w="1296"/>
            <w:vAlign w:val="top"/>
          </w:tcPr>
          <w:p>
            <w:r>
              <w:rPr>
                <w:sz w:val="14"/>
              </w:rPr>
              <w:t>prompt sensitivity</w:t>
            </w:r>
          </w:p>
        </w:tc>
      </w:tr>
      <w:tr>
        <w:tc>
          <w:tcPr>
            <w:tcW w:type="dxa" w:w="1296"/>
            <w:vAlign w:val="top"/>
          </w:tcPr>
          <w:p>
            <w:r>
              <w:rPr>
                <w:sz w:val="14"/>
              </w:rPr>
              <w:t>li_refining_2025</w:t>
            </w:r>
          </w:p>
        </w:tc>
        <w:tc>
          <w:tcPr>
            <w:tcW w:type="dxa" w:w="1296"/>
            <w:vAlign w:val="top"/>
          </w:tcPr>
          <w:p>
            <w:r>
              <w:rPr>
                <w:sz w:val="14"/>
              </w:rPr>
              <w:t>2025</w:t>
            </w:r>
          </w:p>
        </w:tc>
        <w:tc>
          <w:tcPr>
            <w:tcW w:type="dxa" w:w="1296"/>
            <w:vAlign w:val="top"/>
          </w:tcPr>
          <w:p>
            <w:r>
              <w:rPr>
                <w:sz w:val="14"/>
              </w:rPr>
              <w:t>A1</w:t>
            </w:r>
          </w:p>
        </w:tc>
        <w:tc>
          <w:tcPr>
            <w:tcW w:type="dxa" w:w="1296"/>
            <w:vAlign w:val="top"/>
          </w:tcPr>
          <w:p>
            <w:r>
              <w:rPr>
                <w:sz w:val="14"/>
              </w:rPr>
              <w:t>Faulty-premise prompting shows that LLMs often comply with misleading task assumptions instead of challenging them, so natural-language flaws can propagate into generated code.</w:t>
            </w:r>
          </w:p>
        </w:tc>
        <w:tc>
          <w:tcPr>
            <w:tcW w:type="dxa" w:w="1296"/>
            <w:vAlign w:val="top"/>
          </w:tcPr>
          <w:p>
            <w:r>
              <w:rPr>
                <w:sz w:val="14"/>
              </w:rPr>
              <w:t>Faulty-premise benchmark reports model performance under misleading hints, random deletion and related perturbations.</w:t>
            </w:r>
          </w:p>
        </w:tc>
        <w:tc>
          <w:tcPr>
            <w:tcW w:type="dxa" w:w="1296"/>
            <w:vAlign w:val="top"/>
          </w:tcPr>
          <w:p>
            <w:r>
              <w:rPr>
                <w:sz w:val="14"/>
              </w:rPr>
              <w:t>Negative: misleading premise increases hallucination/incorrect-generation risk.</w:t>
            </w:r>
          </w:p>
        </w:tc>
        <w:tc>
          <w:tcPr>
            <w:tcW w:type="dxa" w:w="1296"/>
            <w:vAlign w:val="top"/>
          </w:tcPr>
          <w:p>
            <w:r>
              <w:rPr>
                <w:sz w:val="14"/>
              </w:rPr>
              <w:t>Framework, experiments and discussion, pp. 4-12</w:t>
            </w:r>
          </w:p>
        </w:tc>
        <w:tc>
          <w:tcPr>
            <w:tcW w:type="dxa" w:w="1296"/>
            <w:vAlign w:val="top"/>
          </w:tcPr>
          <w:p>
            <w:r>
              <w:rPr>
                <w:sz w:val="14"/>
              </w:rPr>
              <w:t>prompt sensitivity</w:t>
            </w:r>
          </w:p>
        </w:tc>
      </w:tr>
      <w:tr>
        <w:tc>
          <w:tcPr>
            <w:tcW w:type="dxa" w:w="1296"/>
            <w:vAlign w:val="top"/>
          </w:tcPr>
          <w:p>
            <w:r>
              <w:rPr>
                <w:sz w:val="14"/>
              </w:rPr>
              <w:t>nguyen_empirical_2022</w:t>
            </w:r>
          </w:p>
        </w:tc>
        <w:tc>
          <w:tcPr>
            <w:tcW w:type="dxa" w:w="1296"/>
            <w:vAlign w:val="top"/>
          </w:tcPr>
          <w:p>
            <w:r>
              <w:rPr>
                <w:sz w:val="14"/>
              </w:rPr>
              <w:t>2022</w:t>
            </w:r>
          </w:p>
        </w:tc>
        <w:tc>
          <w:tcPr>
            <w:tcW w:type="dxa" w:w="1296"/>
            <w:vAlign w:val="top"/>
          </w:tcPr>
          <w:p>
            <w:r>
              <w:rPr>
                <w:sz w:val="14"/>
              </w:rPr>
              <w:t>A2</w:t>
            </w:r>
          </w:p>
        </w:tc>
        <w:tc>
          <w:tcPr>
            <w:tcW w:type="dxa" w:w="1296"/>
            <w:vAlign w:val="top"/>
          </w:tcPr>
          <w:p>
            <w:r>
              <w:rPr>
                <w:sz w:val="14"/>
              </w:rPr>
              <w:t>Copilot suggestions vary by programming language and task characteristics, indicating that developer-facing reliability is conditional rather than uniform across everyday coding situations.</w:t>
            </w:r>
          </w:p>
        </w:tc>
        <w:tc>
          <w:tcPr>
            <w:tcW w:type="dxa" w:w="1296"/>
            <w:vAlign w:val="top"/>
          </w:tcPr>
          <w:p>
            <w:r>
              <w:rPr>
                <w:sz w:val="14"/>
              </w:rPr>
              <w:t>33 LeetCode problems in four languages; Java had the highest likelihood of correctness; complexity metrics analysed.</w:t>
            </w:r>
          </w:p>
        </w:tc>
        <w:tc>
          <w:tcPr>
            <w:tcW w:type="dxa" w:w="1296"/>
            <w:vAlign w:val="top"/>
          </w:tcPr>
          <w:p>
            <w:r>
              <w:rPr>
                <w:sz w:val="14"/>
              </w:rPr>
              <w:t>Mixed: useful suggestions occur, but correctness depends on language/task context.</w:t>
            </w:r>
          </w:p>
        </w:tc>
        <w:tc>
          <w:tcPr>
            <w:tcW w:type="dxa" w:w="1296"/>
            <w:vAlign w:val="top"/>
          </w:tcPr>
          <w:p>
            <w:r>
              <w:rPr>
                <w:sz w:val="14"/>
              </w:rPr>
              <w:t>Results and discussion, pp. 4-9</w:t>
            </w:r>
          </w:p>
        </w:tc>
        <w:tc>
          <w:tcPr>
            <w:tcW w:type="dxa" w:w="1296"/>
            <w:vAlign w:val="top"/>
          </w:tcPr>
          <w:p>
            <w:r>
              <w:rPr>
                <w:sz w:val="14"/>
              </w:rPr>
              <w:t>output consistency</w:t>
            </w:r>
          </w:p>
        </w:tc>
      </w:tr>
      <w:tr>
        <w:tc>
          <w:tcPr>
            <w:tcW w:type="dxa" w:w="1296"/>
            <w:vAlign w:val="top"/>
          </w:tcPr>
          <w:p>
            <w:r>
              <w:rPr>
                <w:sz w:val="14"/>
              </w:rPr>
              <w:t>olausson_is_2024</w:t>
            </w:r>
          </w:p>
        </w:tc>
        <w:tc>
          <w:tcPr>
            <w:tcW w:type="dxa" w:w="1296"/>
            <w:vAlign w:val="top"/>
          </w:tcPr>
          <w:p>
            <w:r>
              <w:rPr>
                <w:sz w:val="14"/>
              </w:rPr>
              <w:t>2024</w:t>
            </w:r>
          </w:p>
        </w:tc>
        <w:tc>
          <w:tcPr>
            <w:tcW w:type="dxa" w:w="1296"/>
            <w:vAlign w:val="top"/>
          </w:tcPr>
          <w:p>
            <w:r>
              <w:rPr>
                <w:sz w:val="14"/>
              </w:rPr>
              <w:t>A1</w:t>
            </w:r>
          </w:p>
        </w:tc>
        <w:tc>
          <w:tcPr>
            <w:tcW w:type="dxa" w:w="1296"/>
            <w:vAlign w:val="top"/>
          </w:tcPr>
          <w:p>
            <w:r>
              <w:rPr>
                <w:sz w:val="14"/>
              </w:rPr>
              <w:t>Self-repair improves some failed generations, but repeated repair is not reliably better than sampling more candidate programs and can consume additional tokens.</w:t>
            </w:r>
          </w:p>
        </w:tc>
        <w:tc>
          <w:tcPr>
            <w:tcW w:type="dxa" w:w="1296"/>
            <w:vAlign w:val="top"/>
          </w:tcPr>
          <w:p>
            <w:r>
              <w:rPr>
                <w:sz w:val="14"/>
              </w:rPr>
              <w:t>Self-repair compared with pass@20 and alternative search strategies; token-normalised sampling cost measured.</w:t>
            </w:r>
          </w:p>
        </w:tc>
        <w:tc>
          <w:tcPr>
            <w:tcW w:type="dxa" w:w="1296"/>
            <w:vAlign w:val="top"/>
          </w:tcPr>
          <w:p>
            <w:r>
              <w:rPr>
                <w:sz w:val="14"/>
              </w:rPr>
              <w:t>Mixed/limited: self-repair helps selectively but is not a general silver bullet.</w:t>
            </w:r>
          </w:p>
        </w:tc>
        <w:tc>
          <w:tcPr>
            <w:tcW w:type="dxa" w:w="1296"/>
            <w:vAlign w:val="top"/>
          </w:tcPr>
          <w:p>
            <w:r>
              <w:rPr>
                <w:sz w:val="14"/>
              </w:rPr>
              <w:t>Methodology, experiments and discussion, pp. 3-16</w:t>
            </w:r>
          </w:p>
        </w:tc>
        <w:tc>
          <w:tcPr>
            <w:tcW w:type="dxa" w:w="1296"/>
            <w:vAlign w:val="top"/>
          </w:tcPr>
          <w:p>
            <w:r>
              <w:rPr>
                <w:sz w:val="14"/>
              </w:rPr>
              <w:t>self-repair</w:t>
            </w:r>
          </w:p>
        </w:tc>
      </w:tr>
      <w:tr>
        <w:tc>
          <w:tcPr>
            <w:tcW w:type="dxa" w:w="1296"/>
            <w:vAlign w:val="top"/>
          </w:tcPr>
          <w:p>
            <w:r>
              <w:rPr>
                <w:sz w:val="14"/>
              </w:rPr>
              <w:t>xia_agentless_2024</w:t>
            </w:r>
          </w:p>
        </w:tc>
        <w:tc>
          <w:tcPr>
            <w:tcW w:type="dxa" w:w="1296"/>
            <w:vAlign w:val="top"/>
          </w:tcPr>
          <w:p>
            <w:r>
              <w:rPr>
                <w:sz w:val="14"/>
              </w:rPr>
              <w:t>2024</w:t>
            </w:r>
          </w:p>
        </w:tc>
        <w:tc>
          <w:tcPr>
            <w:tcW w:type="dxa" w:w="1296"/>
            <w:vAlign w:val="top"/>
          </w:tcPr>
          <w:p>
            <w:r>
              <w:rPr>
                <w:sz w:val="14"/>
              </w:rPr>
              <w:t>A1</w:t>
            </w:r>
          </w:p>
        </w:tc>
        <w:tc>
          <w:tcPr>
            <w:tcW w:type="dxa" w:w="1296"/>
            <w:vAlign w:val="top"/>
          </w:tcPr>
          <w:p>
            <w:r>
              <w:rPr>
                <w:sz w:val="14"/>
              </w:rPr>
              <w:t>A deliberately simple agentless workflow performs competitively on SWE-bench Lite, suggesting that much apparent agent reliability may come from retrieval, localisation and patch generation rather than elaborate autonomous planning.</w:t>
            </w:r>
          </w:p>
        </w:tc>
        <w:tc>
          <w:tcPr>
            <w:tcW w:type="dxa" w:w="1296"/>
            <w:vAlign w:val="top"/>
          </w:tcPr>
          <w:p>
            <w:r>
              <w:rPr>
                <w:sz w:val="14"/>
              </w:rPr>
              <w:t>SWE-bench Lite results; simplified localisation/repair pipeline compared with agentic systems.</w:t>
            </w:r>
          </w:p>
        </w:tc>
        <w:tc>
          <w:tcPr>
            <w:tcW w:type="dxa" w:w="1296"/>
            <w:vAlign w:val="top"/>
          </w:tcPr>
          <w:p>
            <w:r>
              <w:rPr>
                <w:sz w:val="14"/>
              </w:rPr>
              <w:t>Positive but cautionary: simpler structure can be effective and more interpretable.</w:t>
            </w:r>
          </w:p>
        </w:tc>
        <w:tc>
          <w:tcPr>
            <w:tcW w:type="dxa" w:w="1296"/>
            <w:vAlign w:val="top"/>
          </w:tcPr>
          <w:p>
            <w:r>
              <w:rPr>
                <w:sz w:val="14"/>
              </w:rPr>
              <w:t>Evaluation and results, pp. 4-10</w:t>
            </w:r>
          </w:p>
        </w:tc>
        <w:tc>
          <w:tcPr>
            <w:tcW w:type="dxa" w:w="1296"/>
            <w:vAlign w:val="top"/>
          </w:tcPr>
          <w:p>
            <w:r>
              <w:rPr>
                <w:sz w:val="14"/>
              </w:rPr>
              <w:t>agentic reliability</w:t>
            </w:r>
          </w:p>
        </w:tc>
      </w:tr>
      <w:tr>
        <w:tc>
          <w:tcPr>
            <w:tcW w:type="dxa" w:w="1296"/>
            <w:vAlign w:val="top"/>
          </w:tcPr>
          <w:p>
            <w:r>
              <w:rPr>
                <w:sz w:val="14"/>
              </w:rPr>
              <w:t>zhang_autocoderover_2024</w:t>
            </w:r>
          </w:p>
        </w:tc>
        <w:tc>
          <w:tcPr>
            <w:tcW w:type="dxa" w:w="1296"/>
            <w:vAlign w:val="top"/>
          </w:tcPr>
          <w:p>
            <w:r>
              <w:rPr>
                <w:sz w:val="14"/>
              </w:rPr>
              <w:t>2024</w:t>
            </w:r>
          </w:p>
        </w:tc>
        <w:tc>
          <w:tcPr>
            <w:tcW w:type="dxa" w:w="1296"/>
            <w:vAlign w:val="top"/>
          </w:tcPr>
          <w:p>
            <w:r>
              <w:rPr>
                <w:sz w:val="14"/>
              </w:rPr>
              <w:t>A1</w:t>
            </w:r>
          </w:p>
        </w:tc>
        <w:tc>
          <w:tcPr>
            <w:tcW w:type="dxa" w:w="1296"/>
            <w:vAlign w:val="top"/>
          </w:tcPr>
          <w:p>
            <w:r>
              <w:rPr>
                <w:sz w:val="14"/>
              </w:rPr>
              <w:t>AutoCodeRover demonstrates that autonomous program-improvement agents can resolve real repository issues, but its success depends on code search, context gathering and patch validation.</w:t>
            </w:r>
          </w:p>
        </w:tc>
        <w:tc>
          <w:tcPr>
            <w:tcW w:type="dxa" w:w="1296"/>
            <w:vAlign w:val="top"/>
          </w:tcPr>
          <w:p>
            <w:r>
              <w:rPr>
                <w:sz w:val="14"/>
              </w:rPr>
              <w:t>Reported issue-resolution results on SWE-bench-style real GitHub issues with autonomous program improvement.</w:t>
            </w:r>
          </w:p>
        </w:tc>
        <w:tc>
          <w:tcPr>
            <w:tcW w:type="dxa" w:w="1296"/>
            <w:vAlign w:val="top"/>
          </w:tcPr>
          <w:p>
            <w:r>
              <w:rPr>
                <w:sz w:val="14"/>
              </w:rPr>
              <w:t>Positive with dependency: agentic reliability improves when navigation and validation are structured.</w:t>
            </w:r>
          </w:p>
        </w:tc>
        <w:tc>
          <w:tcPr>
            <w:tcW w:type="dxa" w:w="1296"/>
            <w:vAlign w:val="top"/>
          </w:tcPr>
          <w:p>
            <w:r>
              <w:rPr>
                <w:sz w:val="14"/>
              </w:rPr>
              <w:t>System design, evaluation and discussion, pp. 4-12</w:t>
            </w:r>
          </w:p>
        </w:tc>
        <w:tc>
          <w:tcPr>
            <w:tcW w:type="dxa" w:w="1296"/>
            <w:vAlign w:val="top"/>
          </w:tcPr>
          <w:p>
            <w:r>
              <w:rPr>
                <w:sz w:val="14"/>
              </w:rPr>
              <w:t>agentic reliability</w:t>
            </w:r>
          </w:p>
        </w:tc>
      </w:tr>
      <w:tr>
        <w:tc>
          <w:tcPr>
            <w:tcW w:type="dxa" w:w="1296"/>
            <w:vAlign w:val="top"/>
          </w:tcPr>
          <w:p>
            <w:r>
              <w:rPr>
                <w:sz w:val="14"/>
              </w:rPr>
              <w:t>yin_comprehensive_2025</w:t>
            </w:r>
          </w:p>
        </w:tc>
        <w:tc>
          <w:tcPr>
            <w:tcW w:type="dxa" w:w="1296"/>
            <w:vAlign w:val="top"/>
          </w:tcPr>
          <w:p>
            <w:r>
              <w:rPr>
                <w:sz w:val="14"/>
              </w:rPr>
              <w:t>2025</w:t>
            </w:r>
          </w:p>
        </w:tc>
        <w:tc>
          <w:tcPr>
            <w:tcW w:type="dxa" w:w="1296"/>
            <w:vAlign w:val="top"/>
          </w:tcPr>
          <w:p>
            <w:r>
              <w:rPr>
                <w:sz w:val="14"/>
              </w:rPr>
              <w:t>A1</w:t>
            </w:r>
          </w:p>
        </w:tc>
        <w:tc>
          <w:tcPr>
            <w:tcW w:type="dxa" w:w="1296"/>
            <w:vAlign w:val="top"/>
          </w:tcPr>
          <w:p>
            <w:r>
              <w:rPr>
                <w:sz w:val="14"/>
              </w:rPr>
              <w:t>Agent frameworks vary substantially across code-centric software-engineering tasks, so reliability is a property of workflow design, task type and evaluation setting rather than the base model alone.</w:t>
            </w:r>
          </w:p>
        </w:tc>
        <w:tc>
          <w:tcPr>
            <w:tcW w:type="dxa" w:w="1296"/>
            <w:vAlign w:val="top"/>
          </w:tcPr>
          <w:p>
            <w:r>
              <w:rPr>
                <w:sz w:val="14"/>
              </w:rPr>
              <w:t>Comprehensive empirical comparison of agent frameworks over code-centric tasks and evaluation metrics.</w:t>
            </w:r>
          </w:p>
        </w:tc>
        <w:tc>
          <w:tcPr>
            <w:tcW w:type="dxa" w:w="1296"/>
            <w:vAlign w:val="top"/>
          </w:tcPr>
          <w:p>
            <w:r>
              <w:rPr>
                <w:sz w:val="14"/>
              </w:rPr>
              <w:t>Mixed: framework choice changes task performance and robustness.</w:t>
            </w:r>
          </w:p>
        </w:tc>
        <w:tc>
          <w:tcPr>
            <w:tcW w:type="dxa" w:w="1296"/>
            <w:vAlign w:val="top"/>
          </w:tcPr>
          <w:p>
            <w:r>
              <w:rPr>
                <w:sz w:val="14"/>
              </w:rPr>
              <w:t>Empirical evaluation and results, pp. 5-14</w:t>
            </w:r>
          </w:p>
        </w:tc>
        <w:tc>
          <w:tcPr>
            <w:tcW w:type="dxa" w:w="1296"/>
            <w:vAlign w:val="top"/>
          </w:tcPr>
          <w:p>
            <w:r>
              <w:rPr>
                <w:sz w:val="14"/>
              </w:rPr>
              <w:t>agentic reliability</w:t>
            </w:r>
          </w:p>
        </w:tc>
      </w:tr>
      <w:tr>
        <w:tc>
          <w:tcPr>
            <w:tcW w:type="dxa" w:w="1296"/>
            <w:vAlign w:val="top"/>
          </w:tcPr>
          <w:p>
            <w:r>
              <w:rPr>
                <w:sz w:val="14"/>
              </w:rPr>
              <w:t>liu_e2edev_2026</w:t>
            </w:r>
          </w:p>
        </w:tc>
        <w:tc>
          <w:tcPr>
            <w:tcW w:type="dxa" w:w="1296"/>
            <w:vAlign w:val="top"/>
          </w:tcPr>
          <w:p>
            <w:r>
              <w:rPr>
                <w:sz w:val="14"/>
              </w:rPr>
              <w:t>2026</w:t>
            </w:r>
          </w:p>
        </w:tc>
        <w:tc>
          <w:tcPr>
            <w:tcW w:type="dxa" w:w="1296"/>
            <w:vAlign w:val="top"/>
          </w:tcPr>
          <w:p>
            <w:r>
              <w:rPr>
                <w:sz w:val="14"/>
              </w:rPr>
              <w:t>A2</w:t>
            </w:r>
          </w:p>
        </w:tc>
        <w:tc>
          <w:tcPr>
            <w:tcW w:type="dxa" w:w="1296"/>
            <w:vAlign w:val="top"/>
          </w:tcPr>
          <w:p>
            <w:r>
              <w:rPr>
                <w:sz w:val="14"/>
              </w:rPr>
              <w:t>End-to-end software-development benchmarks expose reliability problems that isolated code-generation tests miss, including requirement interpretation, test generation, implementation and integration across a full pipeline.</w:t>
            </w:r>
          </w:p>
        </w:tc>
        <w:tc>
          <w:tcPr>
            <w:tcW w:type="dxa" w:w="1296"/>
            <w:vAlign w:val="top"/>
          </w:tcPr>
          <w:p>
            <w:r>
              <w:rPr>
                <w:sz w:val="14"/>
              </w:rPr>
              <w:t>E2Edev reports pass@1, execution-test pass@1, cost, carbon footprint and duration for end-to-end tasks.</w:t>
            </w:r>
          </w:p>
        </w:tc>
        <w:tc>
          <w:tcPr>
            <w:tcW w:type="dxa" w:w="1296"/>
            <w:vAlign w:val="top"/>
          </w:tcPr>
          <w:p>
            <w:r>
              <w:rPr>
                <w:sz w:val="14"/>
              </w:rPr>
              <w:t>Mixed/negative: full-pipeline performance is less stable and more costly than isolated function generation.</w:t>
            </w:r>
          </w:p>
        </w:tc>
        <w:tc>
          <w:tcPr>
            <w:tcW w:type="dxa" w:w="1296"/>
            <w:vAlign w:val="top"/>
          </w:tcPr>
          <w:p>
            <w:r>
              <w:rPr>
                <w:sz w:val="14"/>
              </w:rPr>
              <w:t>Benchmark design, results and discussion, pp. 4-18</w:t>
            </w:r>
          </w:p>
        </w:tc>
        <w:tc>
          <w:tcPr>
            <w:tcW w:type="dxa" w:w="1296"/>
            <w:vAlign w:val="top"/>
          </w:tcPr>
          <w:p>
            <w:r>
              <w:rPr>
                <w:sz w:val="14"/>
              </w:rPr>
              <w:t>agentic reliability</w:t>
            </w:r>
          </w:p>
        </w:tc>
      </w:tr>
      <w:tr>
        <w:tc>
          <w:tcPr>
            <w:tcW w:type="dxa" w:w="1296"/>
            <w:vAlign w:val="top"/>
          </w:tcPr>
          <w:p>
            <w:r>
              <w:rPr>
                <w:sz w:val="14"/>
              </w:rPr>
              <w:t>kong_demystifying_2025</w:t>
            </w:r>
          </w:p>
        </w:tc>
        <w:tc>
          <w:tcPr>
            <w:tcW w:type="dxa" w:w="1296"/>
            <w:vAlign w:val="top"/>
          </w:tcPr>
          <w:p>
            <w:r>
              <w:rPr>
                <w:sz w:val="14"/>
              </w:rPr>
              <w:t>2025</w:t>
            </w:r>
          </w:p>
        </w:tc>
        <w:tc>
          <w:tcPr>
            <w:tcW w:type="dxa" w:w="1296"/>
            <w:vAlign w:val="top"/>
          </w:tcPr>
          <w:p>
            <w:r>
              <w:rPr>
                <w:sz w:val="14"/>
              </w:rPr>
              <w:t>A1</w:t>
            </w:r>
          </w:p>
        </w:tc>
        <w:tc>
          <w:tcPr>
            <w:tcW w:type="dxa" w:w="1296"/>
            <w:vAlign w:val="top"/>
          </w:tcPr>
          <w:p>
            <w:r>
              <w:rPr>
                <w:sz w:val="14"/>
              </w:rPr>
              <w:t>Program-repair performance can partly reflect memorisation of benchmark fixes, so high repair scores are not automatically evidence of general problem-solving ability.</w:t>
            </w:r>
          </w:p>
        </w:tc>
        <w:tc>
          <w:tcPr>
            <w:tcW w:type="dxa" w:w="1296"/>
            <w:vAlign w:val="top"/>
          </w:tcPr>
          <w:p>
            <w:r>
              <w:rPr>
                <w:sz w:val="14"/>
              </w:rPr>
              <w:t>Hypothesis-testing framework checks generated fixes against ground-truth fixes under rename and swap perturbation strategies; pass@30 used.</w:t>
            </w:r>
          </w:p>
        </w:tc>
        <w:tc>
          <w:tcPr>
            <w:tcW w:type="dxa" w:w="1296"/>
            <w:vAlign w:val="top"/>
          </w:tcPr>
          <w:p>
            <w:r>
              <w:rPr>
                <w:sz w:val="14"/>
              </w:rPr>
              <w:t>Negative for validity: memorisation risk can inflate apparent repair capability.</w:t>
            </w:r>
          </w:p>
        </w:tc>
        <w:tc>
          <w:tcPr>
            <w:tcW w:type="dxa" w:w="1296"/>
            <w:vAlign w:val="top"/>
          </w:tcPr>
          <w:p>
            <w:r>
              <w:rPr>
                <w:sz w:val="14"/>
              </w:rPr>
              <w:t>RQ1-RQ3 results and discussion, pp. 10-19</w:t>
            </w:r>
          </w:p>
        </w:tc>
        <w:tc>
          <w:tcPr>
            <w:tcW w:type="dxa" w:w="1296"/>
            <w:vAlign w:val="top"/>
          </w:tcPr>
          <w:p>
            <w:r>
              <w:rPr>
                <w:sz w:val="14"/>
              </w:rPr>
              <w:t>memorisation risk</w:t>
            </w:r>
          </w:p>
        </w:tc>
      </w:tr>
      <w:tr>
        <w:tc>
          <w:tcPr>
            <w:tcW w:type="dxa" w:w="1296"/>
            <w:vAlign w:val="top"/>
          </w:tcPr>
          <w:p>
            <w:r>
              <w:rPr>
                <w:sz w:val="14"/>
              </w:rPr>
              <w:t>aalsteinsson_rethinking_2025</w:t>
            </w:r>
          </w:p>
        </w:tc>
        <w:tc>
          <w:tcPr>
            <w:tcW w:type="dxa" w:w="1296"/>
            <w:vAlign w:val="top"/>
          </w:tcPr>
          <w:p>
            <w:r>
              <w:rPr>
                <w:sz w:val="14"/>
              </w:rPr>
              <w:t>2025</w:t>
            </w:r>
          </w:p>
        </w:tc>
        <w:tc>
          <w:tcPr>
            <w:tcW w:type="dxa" w:w="1296"/>
            <w:vAlign w:val="top"/>
          </w:tcPr>
          <w:p>
            <w:r>
              <w:rPr>
                <w:sz w:val="14"/>
              </w:rPr>
              <w:t>A1</w:t>
            </w:r>
          </w:p>
        </w:tc>
        <w:tc>
          <w:tcPr>
            <w:tcW w:type="dxa" w:w="1296"/>
            <w:vAlign w:val="top"/>
          </w:tcPr>
          <w:p>
            <w:r>
              <w:rPr>
                <w:sz w:val="14"/>
              </w:rPr>
              <w:t>LLM-assisted code review was preferred in an AI-led mode, but reliability still depended on actionable issue detection and integration with human review workflows.</w:t>
            </w:r>
          </w:p>
        </w:tc>
        <w:tc>
          <w:tcPr>
            <w:tcW w:type="dxa" w:w="1296"/>
            <w:vAlign w:val="top"/>
          </w:tcPr>
          <w:p>
            <w:r>
              <w:rPr>
                <w:sz w:val="14"/>
              </w:rPr>
              <w:t>Empirical study reports participant/system results for AI-led and human-led review modes, including preference and issue-detection/actionability measures.</w:t>
            </w:r>
          </w:p>
        </w:tc>
        <w:tc>
          <w:tcPr>
            <w:tcW w:type="dxa" w:w="1296"/>
            <w:vAlign w:val="top"/>
          </w:tcPr>
          <w:p>
            <w:r>
              <w:rPr>
                <w:sz w:val="14"/>
              </w:rPr>
              <w:t>Mixed: preferred assistance does not remove human validation needs.</w:t>
            </w:r>
          </w:p>
        </w:tc>
        <w:tc>
          <w:tcPr>
            <w:tcW w:type="dxa" w:w="1296"/>
            <w:vAlign w:val="top"/>
          </w:tcPr>
          <w:p>
            <w:r>
              <w:rPr>
                <w:sz w:val="14"/>
              </w:rPr>
              <w:t>Research questions, evaluation and results, pp. 3-10</w:t>
            </w:r>
          </w:p>
        </w:tc>
        <w:tc>
          <w:tcPr>
            <w:tcW w:type="dxa" w:w="1296"/>
            <w:vAlign w:val="top"/>
          </w:tcPr>
          <w:p>
            <w:r>
              <w:rPr>
                <w:sz w:val="14"/>
              </w:rPr>
              <w:t>agentic reliability</w:t>
            </w:r>
          </w:p>
        </w:tc>
      </w:tr>
      <w:tr>
        <w:tc>
          <w:tcPr>
            <w:tcW w:type="dxa" w:w="1296"/>
            <w:vAlign w:val="top"/>
          </w:tcPr>
          <w:p>
            <w:r>
              <w:rPr>
                <w:sz w:val="14"/>
              </w:rPr>
              <w:t>agarwal_copilot_2024</w:t>
            </w:r>
          </w:p>
        </w:tc>
        <w:tc>
          <w:tcPr>
            <w:tcW w:type="dxa" w:w="1296"/>
            <w:vAlign w:val="top"/>
          </w:tcPr>
          <w:p>
            <w:r>
              <w:rPr>
                <w:sz w:val="14"/>
              </w:rPr>
              <w:t>2024</w:t>
            </w:r>
          </w:p>
        </w:tc>
        <w:tc>
          <w:tcPr>
            <w:tcW w:type="dxa" w:w="1296"/>
            <w:vAlign w:val="top"/>
          </w:tcPr>
          <w:p>
            <w:r>
              <w:rPr>
                <w:sz w:val="14"/>
              </w:rPr>
              <w:t>A1</w:t>
            </w:r>
          </w:p>
        </w:tc>
        <w:tc>
          <w:tcPr>
            <w:tcW w:type="dxa" w:w="1296"/>
            <w:vAlign w:val="top"/>
          </w:tcPr>
          <w:p>
            <w:r>
              <w:rPr>
                <w:sz w:val="14"/>
              </w:rPr>
              <w:t>The Copilot Evaluation Harness treats reliability as multi-scenario interaction quality rather than single-shot code correctness, covering documentation, tests, warning resolution and repository-context tasks.</w:t>
            </w:r>
          </w:p>
        </w:tc>
        <w:tc>
          <w:tcPr>
            <w:tcW w:type="dxa" w:w="1296"/>
            <w:vAlign w:val="top"/>
          </w:tcPr>
          <w:p>
            <w:r>
              <w:rPr>
                <w:sz w:val="14"/>
              </w:rPr>
              <w:t>Harness defines scenario-level success metrics for LLM-guided programming interactions in real development tasks.</w:t>
            </w:r>
          </w:p>
        </w:tc>
        <w:tc>
          <w:tcPr>
            <w:tcW w:type="dxa" w:w="1296"/>
            <w:vAlign w:val="top"/>
          </w:tcPr>
          <w:p>
            <w:r>
              <w:rPr>
                <w:sz w:val="14"/>
              </w:rPr>
              <w:t>Constructive: broader evaluation improves measurement validity for developer interaction.</w:t>
            </w:r>
          </w:p>
        </w:tc>
        <w:tc>
          <w:tcPr>
            <w:tcW w:type="dxa" w:w="1296"/>
            <w:vAlign w:val="top"/>
          </w:tcPr>
          <w:p>
            <w:r>
              <w:rPr>
                <w:sz w:val="14"/>
              </w:rPr>
              <w:t>Framework, RQs and evaluation scenarios, pp. 3-11</w:t>
            </w:r>
          </w:p>
        </w:tc>
        <w:tc>
          <w:tcPr>
            <w:tcW w:type="dxa" w:w="1296"/>
            <w:vAlign w:val="top"/>
          </w:tcPr>
          <w:p>
            <w:r>
              <w:rPr>
                <w:sz w:val="14"/>
              </w:rPr>
              <w:t>output consistency</w:t>
            </w:r>
          </w:p>
        </w:tc>
      </w:tr>
      <w:tr>
        <w:tc>
          <w:tcPr>
            <w:tcW w:type="dxa" w:w="1296"/>
            <w:vAlign w:val="top"/>
          </w:tcPr>
          <w:p>
            <w:r>
              <w:rPr>
                <w:sz w:val="14"/>
              </w:rPr>
              <w:t>ge_survey_2025</w:t>
            </w:r>
          </w:p>
        </w:tc>
        <w:tc>
          <w:tcPr>
            <w:tcW w:type="dxa" w:w="1296"/>
            <w:vAlign w:val="top"/>
          </w:tcPr>
          <w:p>
            <w:r>
              <w:rPr>
                <w:sz w:val="14"/>
              </w:rPr>
              <w:t>2025</w:t>
            </w:r>
          </w:p>
        </w:tc>
        <w:tc>
          <w:tcPr>
            <w:tcW w:type="dxa" w:w="1296"/>
            <w:vAlign w:val="top"/>
          </w:tcPr>
          <w:p>
            <w:r>
              <w:rPr>
                <w:sz w:val="14"/>
              </w:rPr>
              <w:t>A1</w:t>
            </w:r>
          </w:p>
        </w:tc>
        <w:tc>
          <w:tcPr>
            <w:tcW w:type="dxa" w:w="1296"/>
            <w:vAlign w:val="top"/>
          </w:tcPr>
          <w:p>
            <w:r>
              <w:rPr>
                <w:sz w:val="14"/>
              </w:rPr>
              <w:t>The vibe-coding survey frames successful agentic coding as dependent on context engineering, feedback mechanisms, memory and human oversight, highlighting reliability risks in multi-agent workflows.</w:t>
            </w:r>
          </w:p>
        </w:tc>
        <w:tc>
          <w:tcPr>
            <w:tcW w:type="dxa" w:w="1296"/>
            <w:vAlign w:val="top"/>
          </w:tcPr>
          <w:p>
            <w:r>
              <w:rPr>
                <w:sz w:val="14"/>
              </w:rPr>
              <w:t>Survey synthesises evidence on SWE-bench, AutoCodeRover, Agentless, feedback loops, memory and multi-agent collaboration.</w:t>
            </w:r>
          </w:p>
        </w:tc>
        <w:tc>
          <w:tcPr>
            <w:tcW w:type="dxa" w:w="1296"/>
            <w:vAlign w:val="top"/>
          </w:tcPr>
          <w:p>
            <w:r>
              <w:rPr>
                <w:sz w:val="14"/>
              </w:rPr>
              <w:t>Cautionary synthesis: reliability requires context, feedback and oversight.</w:t>
            </w:r>
          </w:p>
        </w:tc>
        <w:tc>
          <w:tcPr>
            <w:tcW w:type="dxa" w:w="1296"/>
            <w:vAlign w:val="top"/>
          </w:tcPr>
          <w:p>
            <w:r>
              <w:rPr>
                <w:sz w:val="14"/>
              </w:rPr>
              <w:t>Results synthesis and evaluation/critique sections, pp. 14-33</w:t>
            </w:r>
          </w:p>
        </w:tc>
        <w:tc>
          <w:tcPr>
            <w:tcW w:type="dxa" w:w="1296"/>
            <w:vAlign w:val="top"/>
          </w:tcPr>
          <w:p>
            <w:r>
              <w:rPr>
                <w:sz w:val="14"/>
              </w:rPr>
              <w:t>agentic reliability</w:t>
            </w:r>
          </w:p>
        </w:tc>
      </w:tr>
    </w:tbl>
    <w:p>
      <w:pPr>
        <w:pStyle w:val="Heading1"/>
      </w:pPr>
      <w:r>
        <w:t>2. Analytical narrative</w:t>
      </w:r>
    </w:p>
    <w:p>
      <w:r>
        <w:t>Prompt sensitivity is the clearest robustness signal in this HAI CORE cluster because it directly affects the developer's conversational control over generated code. Larbi et al. show that code models degrade when task descriptions are ambiguous, contradictory or incomplete, so the problem is not only whether a prompt is 'well engineered' but whether the assistant can recognise defects in the request before producing code [1]. Chen et al. extend this finding to natural-language variation: semantically preserving perturbations can still change Pass@1 outcomes across seven code LLMs, which means that two developers asking for the same behaviour in different wording may receive different levels of functional correctness [2]. Li et al. sharpen the interactional implication through faulty-premise evaluation: models may follow misleading assumptions instead of resisting them, turning the prompt channel into a path by which user error, ambiguity or overconfident framing enters the generated artefact [3]. Nguyen and Nadi's Copilot evaluation adds that reliability is also conditioned by language and task context, with Java suggestions showing the highest likelihood of correctness in their benchmark rather than uniform performance across languages [4].</w:t>
      </w:r>
    </w:p>
    <w:p>
      <w:r>
        <w:t>For developers, these findings recast prompt formulation as a socio-technical reliability problem. Prompting is not merely a skill for extracting better answers; it is a fragile interface layer where requirements quality, natural-language variability and model compliance interact. The evidence therefore cautions against treating prompt templates as stable controls. A template may improve one class of task while still failing under contradiction, missing information or semantically similar rewording. The practical HAI implication is that developers need feedback mechanisms that surface uncertainty, identify underspecified requirements and challenge faulty premises before code is accepted, rather than relying on fluent output as evidence that the request was understood [1], [2], [3].</w:t>
      </w:r>
    </w:p>
    <w:p>
      <w:r>
        <w:t>Self-repair evidence is more ambivalent. Olausson et al. find that self-repair can rescue some failed generations, but it is not a general silver bullet: when sampling cost is considered, repeated repair may be less attractive than drawing additional independent candidates and filtering them with tests [5]. This matters for HAI because iterative correction is often experienced by users as a conversational process: the assistant proposes code, the developer reports an error, and the assistant revises. The evidence suggests that such loops are useful but should not be equated with reliable debugging competence. Kong et al. further complicate repair evaluation by showing that program-repair success can be entangled with memorisation of benchmark fixes, so a repaired patch may demonstrate retrieval of familiar patterns rather than robust reasoning about the user's current repository [10].</w:t>
      </w:r>
    </w:p>
    <w:p>
      <w:r>
        <w:t>Agentic reliability shows the strongest tension between promise and evaluation discipline. Xia et al.'s Agentless result is important because a comparatively simple, non-elaborate workflow can perform competitively on SWE-bench Lite, implying that retrieval, localisation and patch generation may matter more than complex autonomous orchestration in some settings [6]. Zhang et al.'s AutoCodeRover demonstrates the other side of the same argument: autonomous program improvement becomes more credible when the agent is structured around code search, context gathering and validation rather than unconstrained action [7]. Yin et al. show that framework choice itself affects performance across code-centric tasks, so 'agentic' should not be treated as a single capability class [8]. Liu et al. push the evaluation boundary further by benchmarking end-to-end software-development tasks, where requirement interpretation, test scenario generation, implementation and integration create failure points that isolated function-generation benchmarks can miss [9].</w:t>
      </w:r>
    </w:p>
    <w:p>
      <w:r>
        <w:t>The code-review and evaluation-harness papers connect agent reliability back to human work. AÐalsteinsson et al. report preference for AI-led review support, but the finding remains bounded by issue detection, actionability and workflow integration; preference is therefore not the same as autonomous trustworthiness [11]. Agarwal et al. similarly broaden reliability measurement beyond single-shot code generation by defining a harness for LLM-guided programming scenarios such as tests, documentation and warning resolution [12]. Ge et al.'s survey of vibe coding synthesises the same direction at a higher level: successful LLM coding depends on context engineering, feedback loops, memory mechanisms and human oversight, especially when multi-agent coordination can introduce fragility [13].</w:t>
      </w:r>
    </w:p>
    <w:p>
      <w:r>
        <w:t>Memorisation and evaluation validity are therefore not peripheral concerns; they determine how confidently HAI studies can interpret model behaviour as usable assistance. Kong et al.'s hypothesis-testing approach shows that program-repair benchmarks require contamination checks and perturbation-based validation before high scores are read as general repair ability [10]. Agentic benchmarks face a related risk: if workflows are evaluated mainly on public issue datasets, strong performance may reflect dataset familiarity, benchmark-specific tool paths or search heuristics rather than reliable collaboration with developers in new projects. Across this Phase 1.6 cluster, the robust conclusion is not that LLM coding assistance is unreliable in general, but that reliability is conditional: it depends on prompt quality, semantic stability, repair strategy, context retrieval, validation mechanisms, benchmark design and the developer's capacity to inspect outputs.</w:t>
      </w:r>
    </w:p>
    <w:p>
      <w:pPr>
        <w:pStyle w:val="Heading1"/>
      </w:pPr>
      <w:r>
        <w:t>3. Self-contained note</w:t>
      </w:r>
    </w:p>
    <w:p>
      <w:r>
        <w:t>This sub-topic contributes a robustness layer to the HAI CORE evidence base by showing that human-AI interaction quality is not reducible to user satisfaction or raw code-generation accuracy. The CORE evidence indicates that the prompt channel is brittle, self-repair is useful but bounded, agentic workflows require structured context and validation, and benchmark contamination can distort claims about repair and autonomy. The main gap for NB4 SUPPORT is triangulation from additional empirical settings: developer field studies of prompt failure recovery, longitudinal evidence on agent use in real repositories, and independent contamination-aware evaluations that connect benchmark reliability to everyday software-engineering practice.</w:t>
      </w:r>
    </w:p>
    <w:p>
      <w:pPr>
        <w:pStyle w:val="Heading1"/>
      </w:pPr>
      <w:r>
        <w:t>4. References</w:t>
      </w:r>
    </w:p>
    <w:p>
      <w:r>
        <w:t>[1] When Prompts Go Wrong: Evaluating Code Model Robustness to Ambiguous, Contradictory, and Incomplete Task Descriptions. Larbi, Maya; Akli, Amal; Papadakis, Mike; Bouyousfi, Rihab; Cordy, Maxime; Sarro, Federica; Traon, Yves Le, 2025. Bibkey: larbi_when_2025.</w:t>
      </w:r>
    </w:p>
    <w:p>
      <w:r>
        <w:t>[2] NLPerturbator: Studying the Robustness of Code LLMs to Natural Language Variations. Chen, Junkai; Li, Zhenhao; Hu, Xing; Xia, Xin, 2026. Bibkey: chen_nlperturbator_2026.</w:t>
      </w:r>
    </w:p>
    <w:p>
      <w:r>
        <w:t>[3] Refining Critical Thinking in LLM Code Generation: A Faulty Premise-based Evaluation Framework. Li, Jialin; Li, Jinzhe; Li, Gengxu; Chang, Yi; Wu, Yuan, 2025. Bibkey: li_refining_2025.</w:t>
      </w:r>
    </w:p>
    <w:p>
      <w:r>
        <w:t>[4] An Empirical Evaluation of GitHub Copilot's Code Suggestions. Nguyen, Nhan; Nadi, Sarah, 2022. Bibkey: nguyen_empirical_2022.</w:t>
      </w:r>
    </w:p>
    <w:p>
      <w:r>
        <w:t>[5] Is Self-Repair A Silver Bullet for Code Generation?. Olausson, Theo X; Inala, Jeevana Priya; Wang, Chenglong; Gao, Jianfeng; Solar-Lezama, Armando, 2024. Bibkey: olausson_is_2024.</w:t>
      </w:r>
    </w:p>
    <w:p>
      <w:r>
        <w:t>[6] Agentless: Demystifying LLM-based Software Engineering Agents. Xia, Chunqiu Steven; Deng, Yinlin; Dunn, Stanley; Zhang, Lingming, 2024. Bibkey: xia_agentless_2024.</w:t>
      </w:r>
    </w:p>
    <w:p>
      <w:r>
        <w:t>[7] AutoCodeRover: Autonomous Program Improvement. Zhang, Yuntong; Ruan, Haifeng; Fan, Zhiyu; Roychoudhury, Abhik, 2024. Bibkey: zhang_autocoderover_2024.</w:t>
      </w:r>
    </w:p>
    <w:p>
      <w:r>
        <w:t>[8] A Comprehensive Empirical Evaluation of Agent Frameworks on Code-centric Software Engineering Tasks. Yin, Zhuowen; Gao, Cuifeng; Fan, Chunsong; Yang, Wenzhang; Xue, Yinxing; Zhang, Lijun, 2025. Bibkey: yin_comprehensive_2025.</w:t>
      </w:r>
    </w:p>
    <w:p>
      <w:r>
        <w:t>[9] E2Edev: Benchmarking Large Language Models in End-to-End Software Development Task. Liu, Jingyao; Huang, Chen; Guan, Zhizhao; Lei, Wenqiang; Deng, Yang, 2026. Bibkey: liu_e2edev_2026.</w:t>
      </w:r>
    </w:p>
    <w:p>
      <w:r>
        <w:t>[10] Demystifying Memorization in LLM-Based Program Repair via a General Hypothesis Testing Framework. Kong, Jiaolong; Xie, Xiaofei; Liu, Shangqing, 2025. Bibkey: kong_demystifying_2025.</w:t>
      </w:r>
    </w:p>
    <w:p>
      <w:r>
        <w:t>[11] Rethinking Code Review Workflows with LLM Assistance: An Empirical Study. Aðalsteinsson, Fannar Steinn; Magnussoú, Björn Borgar; Milicevic, Mislav; Davidsson, Adam Nirving; Cheng, Chih-Hong, 2025. Bibkey: aalsteinsson_rethinking_2025.</w:t>
      </w:r>
    </w:p>
    <w:p>
      <w:r>
        <w:t>[12] Copilot Evaluation Harness: Evaluating LLM-Guided Software Programming. Agarwal, Anisha; Chan, Aaron; Chandel, Shubham; Jang, Jinu; Miller, Shaun; Moghaddam, Roshanak Zilouchian; Mohylevskyy, Yevhen; Sundaresan, Neel; Tufano, Michele, 2024. Bibkey: agarwal_copilot_2024.</w:t>
      </w:r>
    </w:p>
    <w:p>
      <w:r>
        <w:t>[13] A Survey of Vibe Coding with Large Language Models. Ge, Yuyao; Mei, Lingrui; Duan, Zenghao; Li, Tianhao; Zheng, Yujia; Wang, Yiwei; Wang, Lexin; Yao, Jiayu; Liu, Tianyu; Cai, Yujun; Bi, Baolong; Guo, Fangda; Guo, Jiafeng; Liu, Shenghua; Cheng, Xueqi, 2025. Bibkey: ge_survey_2025.</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