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2.2 — NB3 HAI CORE: Cross-cutting synthesis across trust, developer experience, and learning</w:t>
      </w:r>
    </w:p>
    <w:p>
      <w:r>
        <w:t>Evidence base: Phase 1.3, Phase 1.4, and Phase 1.5 artefacts only. Bibkeys were checked literally against NB3_HAI_CORE.bib before use. Quality tiers are A1, A2, or B only, as specified in the Relación de Estudios.xlsx classification column.</w:t>
      </w:r>
    </w:p>
    <w:p>
      <w:pPr>
        <w:pStyle w:val="Heading1"/>
      </w:pPr>
      <w:r>
        <w:t>1. Cross-cutting evidence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top"/>
          </w:tcPr>
          <w:p>
            <w:r>
              <w:rPr>
                <w:sz w:val="14"/>
              </w:rPr>
              <w:t>Pattern ID</w:t>
            </w:r>
          </w:p>
        </w:tc>
        <w:tc>
          <w:tcPr>
            <w:tcW w:type="dxa" w:w="1278"/>
            <w:vAlign w:val="top"/>
          </w:tcPr>
          <w:p>
            <w:r>
              <w:rPr>
                <w:sz w:val="14"/>
              </w:rPr>
              <w:t>Cross-cutting pattern</w:t>
            </w:r>
          </w:p>
        </w:tc>
        <w:tc>
          <w:tcPr>
            <w:tcW w:type="dxa" w:w="1278"/>
            <w:vAlign w:val="top"/>
          </w:tcPr>
          <w:p>
            <w:r>
              <w:rPr>
                <w:sz w:val="14"/>
              </w:rPr>
              <w:t>Contributing sub-topics</w:t>
            </w:r>
          </w:p>
        </w:tc>
        <w:tc>
          <w:tcPr>
            <w:tcW w:type="dxa" w:w="1278"/>
            <w:vAlign w:val="top"/>
          </w:tcPr>
          <w:p>
            <w:r>
              <w:rPr>
                <w:sz w:val="14"/>
              </w:rPr>
              <w:t>Convergence type</w:t>
            </w:r>
          </w:p>
        </w:tc>
        <w:tc>
          <w:tcPr>
            <w:tcW w:type="dxa" w:w="1278"/>
            <w:vAlign w:val="top"/>
          </w:tcPr>
          <w:p>
            <w:r>
              <w:rPr>
                <w:sz w:val="14"/>
              </w:rPr>
              <w:t>Bibkeys</w:t>
            </w:r>
          </w:p>
        </w:tc>
        <w:tc>
          <w:tcPr>
            <w:tcW w:type="dxa" w:w="1278"/>
            <w:vAlign w:val="top"/>
          </w:tcPr>
          <w:p>
            <w:r>
              <w:rPr>
                <w:sz w:val="14"/>
              </w:rPr>
              <w:t>Quality tiers</w:t>
            </w:r>
          </w:p>
        </w:tc>
        <w:tc>
          <w:tcPr>
            <w:tcW w:type="dxa" w:w="1278"/>
            <w:vAlign w:val="top"/>
          </w:tcPr>
          <w:p>
            <w:r>
              <w:rPr>
                <w:sz w:val="14"/>
              </w:rPr>
              <w:t>Phase 1 basis</w:t>
            </w:r>
          </w:p>
        </w:tc>
        <w:tc>
          <w:tcPr>
            <w:tcW w:type="dxa" w:w="1278"/>
            <w:vAlign w:val="top"/>
          </w:tcPr>
          <w:p>
            <w:r>
              <w:rPr>
                <w:sz w:val="14"/>
              </w:rPr>
              <w:t>Synthesis implication</w:t>
            </w:r>
          </w:p>
        </w:tc>
      </w:tr>
      <w:tr>
        <w:tc>
          <w:tcPr>
            <w:tcW w:type="dxa" w:w="1278"/>
            <w:vAlign w:val="top"/>
          </w:tcPr>
          <w:p>
            <w:r>
              <w:rPr>
                <w:sz w:val="14"/>
              </w:rPr>
              <w:t>P1</w:t>
            </w:r>
          </w:p>
        </w:tc>
        <w:tc>
          <w:tcPr>
            <w:tcW w:type="dxa" w:w="1278"/>
            <w:vAlign w:val="top"/>
          </w:tcPr>
          <w:p>
            <w:r>
              <w:rPr>
                <w:sz w:val="14"/>
              </w:rPr>
              <w:t>Reliance is calibrated through local fit, inspection, and controllability rather than generic trust in the tool.</w:t>
            </w:r>
          </w:p>
        </w:tc>
        <w:tc>
          <w:tcPr>
            <w:tcW w:type="dxa" w:w="1278"/>
            <w:vAlign w:val="top"/>
          </w:tcPr>
          <w:p>
            <w:r>
              <w:rPr>
                <w:sz w:val="14"/>
              </w:rPr>
              <w:t>Trust; developer experience</w:t>
            </w:r>
          </w:p>
        </w:tc>
        <w:tc>
          <w:tcPr>
            <w:tcW w:type="dxa" w:w="1278"/>
            <w:vAlign w:val="top"/>
          </w:tcPr>
          <w:p>
            <w:r>
              <w:rPr>
                <w:sz w:val="14"/>
              </w:rPr>
              <w:t>Mechanism convergence</w:t>
            </w:r>
          </w:p>
        </w:tc>
        <w:tc>
          <w:tcPr>
            <w:tcW w:type="dxa" w:w="1278"/>
            <w:vAlign w:val="top"/>
          </w:tcPr>
          <w:p>
            <w:r>
              <w:rPr>
                <w:sz w:val="14"/>
              </w:rPr>
              <w:t>brown_identifying_2024; wang_investigating_2024; dibia_aligning_2023; stray_generative_2025; santos_model-assisted_2025; mozannar_reading_2024</w:t>
            </w:r>
          </w:p>
        </w:tc>
        <w:tc>
          <w:tcPr>
            <w:tcW w:type="dxa" w:w="1278"/>
            <w:vAlign w:val="top"/>
          </w:tcPr>
          <w:p>
            <w:r>
              <w:rPr>
                <w:sz w:val="14"/>
              </w:rPr>
              <w:t>A2; A1; A1; A2; A2; A1</w:t>
            </w:r>
          </w:p>
        </w:tc>
        <w:tc>
          <w:tcPr>
            <w:tcW w:type="dxa" w:w="1278"/>
            <w:vAlign w:val="top"/>
          </w:tcPr>
          <w:p>
            <w:r>
              <w:rPr>
                <w:sz w:val="14"/>
              </w:rPr>
              <w:t>Phase 1.3 trust formation and verification; Phase 1.4 inspection and experience costs</w:t>
            </w:r>
          </w:p>
        </w:tc>
        <w:tc>
          <w:tcPr>
            <w:tcW w:type="dxa" w:w="1278"/>
            <w:vAlign w:val="top"/>
          </w:tcPr>
          <w:p>
            <w:r>
              <w:rPr>
                <w:sz w:val="14"/>
              </w:rPr>
              <w:t>Effective HAI depends on developers repeatedly judging whether a suggestion fits task, context, effort, and workflow.</w:t>
            </w:r>
          </w:p>
        </w:tc>
      </w:tr>
      <w:tr>
        <w:tc>
          <w:tcPr>
            <w:tcW w:type="dxa" w:w="1278"/>
            <w:vAlign w:val="top"/>
          </w:tcPr>
          <w:p>
            <w:r>
              <w:rPr>
                <w:sz w:val="14"/>
              </w:rPr>
              <w:t>P2</w:t>
            </w:r>
          </w:p>
        </w:tc>
        <w:tc>
          <w:tcPr>
            <w:tcW w:type="dxa" w:w="1278"/>
            <w:vAlign w:val="top"/>
          </w:tcPr>
          <w:p>
            <w:r>
              <w:rPr>
                <w:sz w:val="14"/>
              </w:rPr>
              <w:t>AI assistance can raise visible performance or satisfaction while leaving comprehension, verified quality, or security weaker.</w:t>
            </w:r>
          </w:p>
        </w:tc>
        <w:tc>
          <w:tcPr>
            <w:tcW w:type="dxa" w:w="1278"/>
            <w:vAlign w:val="top"/>
          </w:tcPr>
          <w:p>
            <w:r>
              <w:rPr>
                <w:sz w:val="14"/>
              </w:rPr>
              <w:t>Trust; developer experience; learning</w:t>
            </w:r>
          </w:p>
        </w:tc>
        <w:tc>
          <w:tcPr>
            <w:tcW w:type="dxa" w:w="1278"/>
            <w:vAlign w:val="top"/>
          </w:tcPr>
          <w:p>
            <w:r>
              <w:rPr>
                <w:sz w:val="14"/>
              </w:rPr>
              <w:t>Outcome divergence</w:t>
            </w:r>
          </w:p>
        </w:tc>
        <w:tc>
          <w:tcPr>
            <w:tcW w:type="dxa" w:w="1278"/>
            <w:vAlign w:val="top"/>
          </w:tcPr>
          <w:p>
            <w:r>
              <w:rPr>
                <w:sz w:val="14"/>
              </w:rPr>
              <w:t>qiao_comprehension-performance_2025; shah_students_2025; prather_its_2024; urs_human-ai_2025; perry_users_2023; mozannar_reading_2024</w:t>
            </w:r>
          </w:p>
        </w:tc>
        <w:tc>
          <w:tcPr>
            <w:tcW w:type="dxa" w:w="1278"/>
            <w:vAlign w:val="top"/>
          </w:tcPr>
          <w:p>
            <w:r>
              <w:rPr>
                <w:sz w:val="14"/>
              </w:rPr>
              <w:t>A1; A2; A1; A1; A1; A1</w:t>
            </w:r>
          </w:p>
        </w:tc>
        <w:tc>
          <w:tcPr>
            <w:tcW w:type="dxa" w:w="1278"/>
            <w:vAlign w:val="top"/>
          </w:tcPr>
          <w:p>
            <w:r>
              <w:rPr>
                <w:sz w:val="14"/>
              </w:rPr>
              <w:t>Phase 1.5 comprehension-performance gap; Phase 1.3 over-reliance; Phase 1.4 reading/decision costs</w:t>
            </w:r>
          </w:p>
        </w:tc>
        <w:tc>
          <w:tcPr>
            <w:tcW w:type="dxa" w:w="1278"/>
            <w:vAlign w:val="top"/>
          </w:tcPr>
          <w:p>
            <w:r>
              <w:rPr>
                <w:sz w:val="14"/>
              </w:rPr>
              <w:t>Productivity claims require paired measures of output, comprehension, defects, and verification work.</w:t>
            </w:r>
          </w:p>
        </w:tc>
      </w:tr>
      <w:tr>
        <w:tc>
          <w:tcPr>
            <w:tcW w:type="dxa" w:w="1278"/>
            <w:vAlign w:val="top"/>
          </w:tcPr>
          <w:p>
            <w:r>
              <w:rPr>
                <w:sz w:val="14"/>
              </w:rPr>
              <w:t>P3</w:t>
            </w:r>
          </w:p>
        </w:tc>
        <w:tc>
          <w:tcPr>
            <w:tcW w:type="dxa" w:w="1278"/>
            <w:vAlign w:val="top"/>
          </w:tcPr>
          <w:p>
            <w:r>
              <w:rPr>
                <w:sz w:val="14"/>
              </w:rPr>
              <w:t>Prompting and workflow integration are skill-dependent interaction practices, not neutral access points.</w:t>
            </w:r>
          </w:p>
        </w:tc>
        <w:tc>
          <w:tcPr>
            <w:tcW w:type="dxa" w:w="1278"/>
            <w:vAlign w:val="top"/>
          </w:tcPr>
          <w:p>
            <w:r>
              <w:rPr>
                <w:sz w:val="14"/>
              </w:rPr>
              <w:t>Developer experience; learning</w:t>
            </w:r>
          </w:p>
        </w:tc>
        <w:tc>
          <w:tcPr>
            <w:tcW w:type="dxa" w:w="1278"/>
            <w:vAlign w:val="top"/>
          </w:tcPr>
          <w:p>
            <w:r>
              <w:rPr>
                <w:sz w:val="14"/>
              </w:rPr>
              <w:t>Process convergence</w:t>
            </w:r>
          </w:p>
        </w:tc>
        <w:tc>
          <w:tcPr>
            <w:tcW w:type="dxa" w:w="1278"/>
            <w:vAlign w:val="top"/>
          </w:tcPr>
          <w:p>
            <w:r>
              <w:rPr>
                <w:sz w:val="14"/>
              </w:rPr>
              <w:t>denny_conversing_2023; otten_prompting_2026; misic_assessment_2024; shah_students_2025; prather_its_2024</w:t>
            </w:r>
          </w:p>
        </w:tc>
        <w:tc>
          <w:tcPr>
            <w:tcW w:type="dxa" w:w="1278"/>
            <w:vAlign w:val="top"/>
          </w:tcPr>
          <w:p>
            <w:r>
              <w:rPr>
                <w:sz w:val="14"/>
              </w:rPr>
              <w:t>A2; A2; A2; A2; A1</w:t>
            </w:r>
          </w:p>
        </w:tc>
        <w:tc>
          <w:tcPr>
            <w:tcW w:type="dxa" w:w="1278"/>
            <w:vAlign w:val="top"/>
          </w:tcPr>
          <w:p>
            <w:r>
              <w:rPr>
                <w:sz w:val="14"/>
              </w:rPr>
              <w:t>Phase 1.5 prompt decomposition and novice recovery; Phase 1.4 prompting and specialised workflow studies</w:t>
            </w:r>
          </w:p>
        </w:tc>
        <w:tc>
          <w:tcPr>
            <w:tcW w:type="dxa" w:w="1278"/>
            <w:vAlign w:val="top"/>
          </w:tcPr>
          <w:p>
            <w:r>
              <w:rPr>
                <w:sz w:val="14"/>
              </w:rPr>
              <w:t>Less experienced users face a double burden: they must solve the programming task and manage the assistant.</w:t>
            </w:r>
          </w:p>
        </w:tc>
      </w:tr>
      <w:tr>
        <w:tc>
          <w:tcPr>
            <w:tcW w:type="dxa" w:w="1278"/>
            <w:vAlign w:val="top"/>
          </w:tcPr>
          <w:p>
            <w:r>
              <w:rPr>
                <w:sz w:val="14"/>
              </w:rPr>
              <w:t>P4</w:t>
            </w:r>
          </w:p>
        </w:tc>
        <w:tc>
          <w:tcPr>
            <w:tcW w:type="dxa" w:w="1278"/>
            <w:vAlign w:val="top"/>
          </w:tcPr>
          <w:p>
            <w:r>
              <w:rPr>
                <w:sz w:val="14"/>
              </w:rPr>
              <w:t>Identity, skill threat, accessibility, and professional continuity extend HAI risk beyond task-level correctness.</w:t>
            </w:r>
          </w:p>
        </w:tc>
        <w:tc>
          <w:tcPr>
            <w:tcW w:type="dxa" w:w="1278"/>
            <w:vAlign w:val="top"/>
          </w:tcPr>
          <w:p>
            <w:r>
              <w:rPr>
                <w:sz w:val="14"/>
              </w:rPr>
              <w:t>Developer experience; learning; trust</w:t>
            </w:r>
          </w:p>
        </w:tc>
        <w:tc>
          <w:tcPr>
            <w:tcW w:type="dxa" w:w="1278"/>
            <w:vAlign w:val="top"/>
          </w:tcPr>
          <w:p>
            <w:r>
              <w:rPr>
                <w:sz w:val="14"/>
              </w:rPr>
              <w:t>Socio-technical convergence</w:t>
            </w:r>
          </w:p>
        </w:tc>
        <w:tc>
          <w:tcPr>
            <w:tcW w:type="dxa" w:w="1278"/>
            <w:vAlign w:val="top"/>
          </w:tcPr>
          <w:p>
            <w:r>
              <w:rPr>
                <w:sz w:val="14"/>
              </w:rPr>
              <w:t>hicks_new_2024; zacharias_developers_2026; flores-saviaga_impact_2025; lyu_will_2025; mailach_ok_2025; wang_investigating_2024</w:t>
            </w:r>
          </w:p>
        </w:tc>
        <w:tc>
          <w:tcPr>
            <w:tcW w:type="dxa" w:w="1278"/>
            <w:vAlign w:val="top"/>
          </w:tcPr>
          <w:p>
            <w:r>
              <w:rPr>
                <w:sz w:val="14"/>
              </w:rPr>
              <w:t>A2; A2; A1; A1; A1; A1</w:t>
            </w:r>
          </w:p>
        </w:tc>
        <w:tc>
          <w:tcPr>
            <w:tcW w:type="dxa" w:w="1278"/>
            <w:vAlign w:val="top"/>
          </w:tcPr>
          <w:p>
            <w:r>
              <w:rPr>
                <w:sz w:val="14"/>
              </w:rPr>
              <w:t>Phase 1.4 identity/accessibility evidence; Phase 1.5 collaborative and dialogic learning; Phase 1.3 skill/offloading concerns</w:t>
            </w:r>
          </w:p>
        </w:tc>
        <w:tc>
          <w:tcPr>
            <w:tcW w:type="dxa" w:w="1278"/>
            <w:vAlign w:val="top"/>
          </w:tcPr>
          <w:p>
            <w:r>
              <w:rPr>
                <w:sz w:val="14"/>
              </w:rPr>
              <w:t>AI-assisted programming changes confidence, belonging, collaboration, and the meaning of expertise.</w:t>
            </w:r>
          </w:p>
        </w:tc>
      </w:tr>
      <w:tr>
        <w:tc>
          <w:tcPr>
            <w:tcW w:type="dxa" w:w="1278"/>
            <w:vAlign w:val="top"/>
          </w:tcPr>
          <w:p>
            <w:r>
              <w:rPr>
                <w:sz w:val="14"/>
              </w:rPr>
              <w:t>P5</w:t>
            </w:r>
          </w:p>
        </w:tc>
        <w:tc>
          <w:tcPr>
            <w:tcW w:type="dxa" w:w="1278"/>
            <w:vAlign w:val="top"/>
          </w:tcPr>
          <w:p>
            <w:r>
              <w:rPr>
                <w:sz w:val="14"/>
              </w:rPr>
              <w:t>Selective acceptance is a mature workflow response: rejection can still create diagnostic value.</w:t>
            </w:r>
          </w:p>
        </w:tc>
        <w:tc>
          <w:tcPr>
            <w:tcW w:type="dxa" w:w="1278"/>
            <w:vAlign w:val="top"/>
          </w:tcPr>
          <w:p>
            <w:r>
              <w:rPr>
                <w:sz w:val="14"/>
              </w:rPr>
              <w:t>Trust; developer experience</w:t>
            </w:r>
          </w:p>
        </w:tc>
        <w:tc>
          <w:tcPr>
            <w:tcW w:type="dxa" w:w="1278"/>
            <w:vAlign w:val="top"/>
          </w:tcPr>
          <w:p>
            <w:r>
              <w:rPr>
                <w:sz w:val="14"/>
              </w:rPr>
              <w:t>Practice convergence</w:t>
            </w:r>
          </w:p>
        </w:tc>
        <w:tc>
          <w:tcPr>
            <w:tcW w:type="dxa" w:w="1278"/>
            <w:vAlign w:val="top"/>
          </w:tcPr>
          <w:p>
            <w:r>
              <w:rPr>
                <w:sz w:val="14"/>
              </w:rPr>
              <w:t>klemmer_using_2024; cihan_automated_2024; olewicki_impact_2026; davila_industry_2024; park_continuance_2025</w:t>
            </w:r>
          </w:p>
        </w:tc>
        <w:tc>
          <w:tcPr>
            <w:tcW w:type="dxa" w:w="1278"/>
            <w:vAlign w:val="top"/>
          </w:tcPr>
          <w:p>
            <w:r>
              <w:rPr>
                <w:sz w:val="14"/>
              </w:rPr>
              <w:t>A1; A2; A1; A2; A2</w:t>
            </w:r>
          </w:p>
        </w:tc>
        <w:tc>
          <w:tcPr>
            <w:tcW w:type="dxa" w:w="1278"/>
            <w:vAlign w:val="top"/>
          </w:tcPr>
          <w:p>
            <w:r>
              <w:rPr>
                <w:sz w:val="14"/>
              </w:rPr>
              <w:t>Phase 1.3 security-specific and review acceptance evidence; Phase 1.4 adoption/continuance evidence</w:t>
            </w:r>
          </w:p>
        </w:tc>
        <w:tc>
          <w:tcPr>
            <w:tcW w:type="dxa" w:w="1278"/>
            <w:vAlign w:val="top"/>
          </w:tcPr>
          <w:p>
            <w:r>
              <w:rPr>
                <w:sz w:val="14"/>
              </w:rPr>
              <w:t>Adoption should be assessed as governed use, adaptation, and review-mediated value rather than direct acceptance alone.</w:t>
            </w:r>
          </w:p>
        </w:tc>
      </w:tr>
      <w:tr>
        <w:tc>
          <w:tcPr>
            <w:tcW w:type="dxa" w:w="1278"/>
            <w:vAlign w:val="top"/>
          </w:tcPr>
          <w:p>
            <w:r>
              <w:rPr>
                <w:sz w:val="14"/>
              </w:rPr>
              <w:t>P6</w:t>
            </w:r>
          </w:p>
        </w:tc>
        <w:tc>
          <w:tcPr>
            <w:tcW w:type="dxa" w:w="1278"/>
            <w:vAlign w:val="top"/>
          </w:tcPr>
          <w:p>
            <w:r>
              <w:rPr>
                <w:sz w:val="14"/>
              </w:rPr>
              <w:t>Educationally valuable assistance requires scaffolds that force explanation, diagnosis, and reflection.</w:t>
            </w:r>
          </w:p>
        </w:tc>
        <w:tc>
          <w:tcPr>
            <w:tcW w:type="dxa" w:w="1278"/>
            <w:vAlign w:val="top"/>
          </w:tcPr>
          <w:p>
            <w:r>
              <w:rPr>
                <w:sz w:val="14"/>
              </w:rPr>
              <w:t>Learning; trust; developer experience</w:t>
            </w:r>
          </w:p>
        </w:tc>
        <w:tc>
          <w:tcPr>
            <w:tcW w:type="dxa" w:w="1278"/>
            <w:vAlign w:val="top"/>
          </w:tcPr>
          <w:p>
            <w:r>
              <w:rPr>
                <w:sz w:val="14"/>
              </w:rPr>
              <w:t>Design convergence</w:t>
            </w:r>
          </w:p>
        </w:tc>
        <w:tc>
          <w:tcPr>
            <w:tcW w:type="dxa" w:w="1278"/>
            <w:vAlign w:val="top"/>
          </w:tcPr>
          <w:p>
            <w:r>
              <w:rPr>
                <w:sz w:val="14"/>
              </w:rPr>
              <w:t>yang_cref_2024; lyu_will_2025; mailach_ok_2025; qiao_comprehension-performance_2025; santos_model-assisted_2025</w:t>
            </w:r>
          </w:p>
        </w:tc>
        <w:tc>
          <w:tcPr>
            <w:tcW w:type="dxa" w:w="1278"/>
            <w:vAlign w:val="top"/>
          </w:tcPr>
          <w:p>
            <w:r>
              <w:rPr>
                <w:sz w:val="14"/>
              </w:rPr>
              <w:t>A1; A1; A1; A1; A2</w:t>
            </w:r>
          </w:p>
        </w:tc>
        <w:tc>
          <w:tcPr>
            <w:tcW w:type="dxa" w:w="1278"/>
            <w:vAlign w:val="top"/>
          </w:tcPr>
          <w:p>
            <w:r>
              <w:rPr>
                <w:sz w:val="14"/>
              </w:rPr>
              <w:t>Phase 1.5 tutoring and interaction-pattern evidence; Phase 1.3/1.4 human-guided use</w:t>
            </w:r>
          </w:p>
        </w:tc>
        <w:tc>
          <w:tcPr>
            <w:tcW w:type="dxa" w:w="1278"/>
            <w:vAlign w:val="top"/>
          </w:tcPr>
          <w:p>
            <w:r>
              <w:rPr>
                <w:sz w:val="14"/>
              </w:rPr>
              <w:t>The same assistant can scaffold learning or bypass learning, depending on whether reasoning remains visible.</w:t>
            </w:r>
          </w:p>
        </w:tc>
      </w:tr>
    </w:tbl>
    <w:p>
      <w:pPr>
        <w:pStyle w:val="Heading1"/>
      </w:pPr>
      <w:r>
        <w:t>2. Analytical synthesis</w:t>
      </w:r>
    </w:p>
    <w:p>
      <w:r>
        <w:t>Across Phase 1.3, Phase 1.4, and Phase 1.5, the central cross-cutting pattern is a calibration problem: effective AI-assisted programming depends on repeated adjustment of reliance, expectation, and skill. Trust evidence shows that developers accept assistance when suggestions appear high-quality, familiar, controllable, accurate, and low-effort to adapt [1][2][3]. Experience evidence adds that this judgement is costly because developers must read, inspect, decide, and fit outputs into ongoing work rather than simply receive productivity [4][5][6]. Learning evidence makes the same mechanism more fragile for novices, who may progress with AI support while struggling to interpret suggestions, recover from mismatches, or understand unfamiliar project context [7][8][9].</w:t>
      </w:r>
    </w:p>
    <w:p>
      <w:r>
        <w:t>This calibration is systematically harder for less experienced users because they must manage two uncertainties at once: the programming problem and the assistant. Urs reports experience-dependent defect effects, with novice developers showing increased defect incidence under AI assistance while senior developers maintained more calibrated scepticism [10]. Perry et al. show a related over-reliance pattern in security tasks, where AI-assisted participants produced more insecure code while reporting greater confidence [11]. In educational settings, the same danger appears as a comprehension-performance gap: assistance can improve visible task progress while leaving weaker understanding of the generated or modified code [7].</w:t>
      </w:r>
    </w:p>
    <w:p>
      <w:r>
        <w:t>The perception-reality gap therefore cuts across trust, experience, and learning. Developers and students often report speed, satisfaction, or flow benefits, yet those perceptions are moderated by verification costs, context loss, correction effort, and hidden reading burdens [4][6][5]. Corporate and continuance studies similarly frame adoption as conditional: perceived usefulness must outweigh correction effort, governance concerns, confidentiality constraints, and workflow mismatch [17][18]. The gap is not that positive perceptions are false; it is that subjective productivity captures only part of the interaction cost. When output measures are separated from comprehension, security, or defect outcomes, AI assistance can look more beneficial than it is for maintainable software work [11][7][10].</w:t>
      </w:r>
    </w:p>
    <w:p>
      <w:r>
        <w:t>Prompting and workflow integration form the practical substrate of calibration. Denny et al. show that CS1 performance depends on conversational refinement and problem decomposition rather than one-shot prompting [14]. Otten et al. report that practitioners’ effective use involves decomposing tasks, adding context, iterating outputs, and judging actionability [15]. Mišić and Dodović show the same pattern in OpenMP parallelisation, where acceptable outcomes require iterative prompting, compiler feedback, and human evaluation [16]. These studies contradict any view of prompting as a minor interface detail: prompt literacy and integration skill are part of the human capability required to make AI assistance reliable.</w:t>
      </w:r>
    </w:p>
    <w:p>
      <w:r>
        <w:t>The risks extend beyond immediate task performance into identity and professional continuity. Hicks et al. report AI Skill Threat, with 43-45% of developers showing worry, anxiety, or fear about whether current skills will remain sufficient [12]. Zacharias et al. similarly describe a professional dilemma in which GenAI enhances productivity and creativity while raising concerns about over-reliance, skill degradation, homogenisation, and weakened interpersonal communication [13]. Flores-Saviaga et al. add that accessibility failures can make AI coding assistants unevenly usable for visually impaired developers, transforming a potentially inclusive technology into a source of navigation, debugging, modality, and cognitive-overload burdens [22].</w:t>
      </w:r>
    </w:p>
    <w:p>
      <w:r>
        <w:t>Tensions and contradictions are visible inside the cluster. Assistance is valuable as a scaffold, teammate, or diagnostic partner in learning-oriented studies, but the same generative capacity can bypass the cognitive work that learning requires [24][25][7]. Review-oriented studies show low direct acceptance of generated comments, yet rejected comments may still function as tips or prompts for human reviewers [20][21]. Security studies are more conservative than general productivity studies: practitioners value AI for flow and routine support, but security-sensitive work requires manual inspection, external validation, and selective rejection [4][19][11].</w:t>
      </w:r>
    </w:p>
    <w:p>
      <w:r>
        <w:t>The synthesis leaves five research gaps for Phase 3 triangulation. First, the corpus needs longitudinal evidence on whether calibration improves or deteriorates with extended use. Second, subjective productivity should be paired with objective measures of defects, maintainability, security, and comprehension. Third, novices and early-career developers need separate analysis because their interaction burden differs from that of experienced professionals. Fourth, identity, accessibility, and belonging require stronger integration with technical outcome studies. Fifth, the field needs design evidence on scaffolds that preserve explanation, diagnosis, and reflection while still enabling useful automation [26][24][25].</w:t>
      </w:r>
    </w:p>
    <w:p>
      <w:pPr>
        <w:pStyle w:val="Heading1"/>
      </w:pPr>
      <w:r>
        <w:t>3. Proposition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Pr>
          <w:p>
            <w:r>
              <w:rPr>
                <w:sz w:val="16"/>
              </w:rPr>
              <w:t>Proposition ID</w:t>
            </w:r>
          </w:p>
        </w:tc>
        <w:tc>
          <w:tcPr>
            <w:tcW w:type="dxa" w:w="2045"/>
            <w:vAlign w:val="top"/>
          </w:tcPr>
          <w:p>
            <w:r>
              <w:rPr>
                <w:sz w:val="16"/>
              </w:rPr>
              <w:t>Statement</w:t>
            </w:r>
          </w:p>
        </w:tc>
        <w:tc>
          <w:tcPr>
            <w:tcW w:type="dxa" w:w="2045"/>
            <w:vAlign w:val="top"/>
          </w:tcPr>
          <w:p>
            <w:r>
              <w:rPr>
                <w:sz w:val="16"/>
              </w:rPr>
              <w:t>Supporting bibkeys</w:t>
            </w:r>
          </w:p>
        </w:tc>
        <w:tc>
          <w:tcPr>
            <w:tcW w:type="dxa" w:w="2045"/>
            <w:vAlign w:val="top"/>
          </w:tcPr>
          <w:p>
            <w:r>
              <w:rPr>
                <w:sz w:val="16"/>
              </w:rPr>
              <w:t>Confidence level</w:t>
            </w:r>
          </w:p>
        </w:tc>
        <w:tc>
          <w:tcPr>
            <w:tcW w:type="dxa" w:w="2045"/>
            <w:vAlign w:val="top"/>
          </w:tcPr>
          <w:p>
            <w:r>
              <w:rPr>
                <w:sz w:val="16"/>
              </w:rPr>
              <w:t>Caveat</w:t>
            </w:r>
          </w:p>
        </w:tc>
      </w:tr>
      <w:tr>
        <w:tc>
          <w:tcPr>
            <w:tcW w:type="dxa" w:w="2045"/>
            <w:vAlign w:val="top"/>
          </w:tcPr>
          <w:p>
            <w:r>
              <w:rPr>
                <w:sz w:val="16"/>
              </w:rPr>
              <w:t>P2.2-1</w:t>
            </w:r>
          </w:p>
        </w:tc>
        <w:tc>
          <w:tcPr>
            <w:tcW w:type="dxa" w:w="2045"/>
            <w:vAlign w:val="top"/>
          </w:tcPr>
          <w:p>
            <w:r>
              <w:rPr>
                <w:sz w:val="16"/>
              </w:rPr>
              <w:t>AI-assisted programming improves outcomes only when users can calibrate reliance through inspection, contextual fit, and controllability.</w:t>
            </w:r>
          </w:p>
        </w:tc>
        <w:tc>
          <w:tcPr>
            <w:tcW w:type="dxa" w:w="2045"/>
            <w:vAlign w:val="top"/>
          </w:tcPr>
          <w:p>
            <w:r>
              <w:rPr>
                <w:sz w:val="16"/>
              </w:rPr>
              <w:t>brown_identifying_2024; wang_investigating_2024; dibia_aligning_2023; mozannar_reading_2024</w:t>
            </w:r>
          </w:p>
        </w:tc>
        <w:tc>
          <w:tcPr>
            <w:tcW w:type="dxa" w:w="2045"/>
            <w:vAlign w:val="top"/>
          </w:tcPr>
          <w:p>
            <w:r>
              <w:rPr>
                <w:sz w:val="16"/>
              </w:rPr>
              <w:t>high</w:t>
            </w:r>
          </w:p>
        </w:tc>
        <w:tc>
          <w:tcPr>
            <w:tcW w:type="dxa" w:w="2045"/>
            <w:vAlign w:val="top"/>
          </w:tcPr>
          <w:p>
            <w:r>
              <w:rPr>
                <w:sz w:val="16"/>
              </w:rPr>
              <w:t>Evidence is strongest for professional and mixed developer settings; longitudinal calibration remains under-observed.</w:t>
            </w:r>
          </w:p>
        </w:tc>
      </w:tr>
      <w:tr>
        <w:tc>
          <w:tcPr>
            <w:tcW w:type="dxa" w:w="2045"/>
            <w:vAlign w:val="top"/>
          </w:tcPr>
          <w:p>
            <w:r>
              <w:rPr>
                <w:sz w:val="16"/>
              </w:rPr>
              <w:t>P2.2-2</w:t>
            </w:r>
          </w:p>
        </w:tc>
        <w:tc>
          <w:tcPr>
            <w:tcW w:type="dxa" w:w="2045"/>
            <w:vAlign w:val="top"/>
          </w:tcPr>
          <w:p>
            <w:r>
              <w:rPr>
                <w:sz w:val="16"/>
              </w:rPr>
              <w:t>For novices, AI assistance is more likely to widen the gap between visible task completion and durable code comprehension unless scaffolds require explanation and repair reasoning.</w:t>
            </w:r>
          </w:p>
        </w:tc>
        <w:tc>
          <w:tcPr>
            <w:tcW w:type="dxa" w:w="2045"/>
            <w:vAlign w:val="top"/>
          </w:tcPr>
          <w:p>
            <w:r>
              <w:rPr>
                <w:sz w:val="16"/>
              </w:rPr>
              <w:t>qiao_comprehension-performance_2025; shah_students_2025; prather_its_2024; lyu_will_2025; mailach_ok_2025</w:t>
            </w:r>
          </w:p>
        </w:tc>
        <w:tc>
          <w:tcPr>
            <w:tcW w:type="dxa" w:w="2045"/>
            <w:vAlign w:val="top"/>
          </w:tcPr>
          <w:p>
            <w:r>
              <w:rPr>
                <w:sz w:val="16"/>
              </w:rPr>
              <w:t>high</w:t>
            </w:r>
          </w:p>
        </w:tc>
        <w:tc>
          <w:tcPr>
            <w:tcW w:type="dxa" w:w="2045"/>
            <w:vAlign w:val="top"/>
          </w:tcPr>
          <w:p>
            <w:r>
              <w:rPr>
                <w:sz w:val="16"/>
              </w:rPr>
              <w:t>Educational designs differ, so the proposition should be tested across course levels and assessment regimes.</w:t>
            </w:r>
          </w:p>
        </w:tc>
      </w:tr>
      <w:tr>
        <w:tc>
          <w:tcPr>
            <w:tcW w:type="dxa" w:w="2045"/>
            <w:vAlign w:val="top"/>
          </w:tcPr>
          <w:p>
            <w:r>
              <w:rPr>
                <w:sz w:val="16"/>
              </w:rPr>
              <w:t>P2.2-3</w:t>
            </w:r>
          </w:p>
        </w:tc>
        <w:tc>
          <w:tcPr>
            <w:tcW w:type="dxa" w:w="2045"/>
            <w:vAlign w:val="top"/>
          </w:tcPr>
          <w:p>
            <w:r>
              <w:rPr>
                <w:sz w:val="16"/>
              </w:rPr>
              <w:t>Perceived productivity and satisfaction overstate realised software value when studies do not account for verification, reading, correction, and integration costs.</w:t>
            </w:r>
          </w:p>
        </w:tc>
        <w:tc>
          <w:tcPr>
            <w:tcW w:type="dxa" w:w="2045"/>
            <w:vAlign w:val="top"/>
          </w:tcPr>
          <w:p>
            <w:r>
              <w:rPr>
                <w:sz w:val="16"/>
              </w:rPr>
              <w:t>stray_generative_2025; santos_model-assisted_2025; mozannar_reading_2024; park_continuance_2025; davila_industry_2024</w:t>
            </w:r>
          </w:p>
        </w:tc>
        <w:tc>
          <w:tcPr>
            <w:tcW w:type="dxa" w:w="2045"/>
            <w:vAlign w:val="top"/>
          </w:tcPr>
          <w:p>
            <w:r>
              <w:rPr>
                <w:sz w:val="16"/>
              </w:rPr>
              <w:t>high</w:t>
            </w:r>
          </w:p>
        </w:tc>
        <w:tc>
          <w:tcPr>
            <w:tcW w:type="dxa" w:w="2045"/>
            <w:vAlign w:val="top"/>
          </w:tcPr>
          <w:p>
            <w:r>
              <w:rPr>
                <w:sz w:val="16"/>
              </w:rPr>
              <w:t>Most evidence is perceptual or process-oriented; direct productivity baselines remain uneven.</w:t>
            </w:r>
          </w:p>
        </w:tc>
      </w:tr>
      <w:tr>
        <w:tc>
          <w:tcPr>
            <w:tcW w:type="dxa" w:w="2045"/>
            <w:vAlign w:val="top"/>
          </w:tcPr>
          <w:p>
            <w:r>
              <w:rPr>
                <w:sz w:val="16"/>
              </w:rPr>
              <w:t>P2.2-4</w:t>
            </w:r>
          </w:p>
        </w:tc>
        <w:tc>
          <w:tcPr>
            <w:tcW w:type="dxa" w:w="2045"/>
            <w:vAlign w:val="top"/>
          </w:tcPr>
          <w:p>
            <w:r>
              <w:rPr>
                <w:sz w:val="16"/>
              </w:rPr>
              <w:t>Security-sensitive AI-assisted programming produces higher over-reliance risk than routine coding because user confidence can increase while output security decreases.</w:t>
            </w:r>
          </w:p>
        </w:tc>
        <w:tc>
          <w:tcPr>
            <w:tcW w:type="dxa" w:w="2045"/>
            <w:vAlign w:val="top"/>
          </w:tcPr>
          <w:p>
            <w:r>
              <w:rPr>
                <w:sz w:val="16"/>
              </w:rPr>
              <w:t>perry_users_2023; klemmer_using_2024; urs_human-ai_2025</w:t>
            </w:r>
          </w:p>
        </w:tc>
        <w:tc>
          <w:tcPr>
            <w:tcW w:type="dxa" w:w="2045"/>
            <w:vAlign w:val="top"/>
          </w:tcPr>
          <w:p>
            <w:r>
              <w:rPr>
                <w:sz w:val="16"/>
              </w:rPr>
              <w:t>high</w:t>
            </w:r>
          </w:p>
        </w:tc>
        <w:tc>
          <w:tcPr>
            <w:tcW w:type="dxa" w:w="2045"/>
            <w:vAlign w:val="top"/>
          </w:tcPr>
          <w:p>
            <w:r>
              <w:rPr>
                <w:sz w:val="16"/>
              </w:rPr>
              <w:t>Security-task evidence is strong but narrower than the full range of software engineering tasks.</w:t>
            </w:r>
          </w:p>
        </w:tc>
      </w:tr>
      <w:tr>
        <w:tc>
          <w:tcPr>
            <w:tcW w:type="dxa" w:w="2045"/>
            <w:vAlign w:val="top"/>
          </w:tcPr>
          <w:p>
            <w:r>
              <w:rPr>
                <w:sz w:val="16"/>
              </w:rPr>
              <w:t>P2.2-5</w:t>
            </w:r>
          </w:p>
        </w:tc>
        <w:tc>
          <w:tcPr>
            <w:tcW w:type="dxa" w:w="2045"/>
            <w:vAlign w:val="top"/>
          </w:tcPr>
          <w:p>
            <w:r>
              <w:rPr>
                <w:sz w:val="16"/>
              </w:rPr>
              <w:t>Prompt literacy is a core HAI competence: users who decompose tasks, supply context, iterate, and validate outputs obtain more reliable value from AI coding assistants.</w:t>
            </w:r>
          </w:p>
        </w:tc>
        <w:tc>
          <w:tcPr>
            <w:tcW w:type="dxa" w:w="2045"/>
            <w:vAlign w:val="top"/>
          </w:tcPr>
          <w:p>
            <w:r>
              <w:rPr>
                <w:sz w:val="16"/>
              </w:rPr>
              <w:t>denny_conversing_2023; otten_prompting_2026; misic_assessment_2024; shah_students_2025</w:t>
            </w:r>
          </w:p>
        </w:tc>
        <w:tc>
          <w:tcPr>
            <w:tcW w:type="dxa" w:w="2045"/>
            <w:vAlign w:val="top"/>
          </w:tcPr>
          <w:p>
            <w:r>
              <w:rPr>
                <w:sz w:val="16"/>
              </w:rPr>
              <w:t>moderate</w:t>
            </w:r>
          </w:p>
        </w:tc>
        <w:tc>
          <w:tcPr>
            <w:tcW w:type="dxa" w:w="2045"/>
            <w:vAlign w:val="top"/>
          </w:tcPr>
          <w:p>
            <w:r>
              <w:rPr>
                <w:sz w:val="16"/>
              </w:rPr>
              <w:t>Evidence converges across settings but uses different measures of prompting success.</w:t>
            </w:r>
          </w:p>
        </w:tc>
      </w:tr>
      <w:tr>
        <w:tc>
          <w:tcPr>
            <w:tcW w:type="dxa" w:w="2045"/>
            <w:vAlign w:val="top"/>
          </w:tcPr>
          <w:p>
            <w:r>
              <w:rPr>
                <w:sz w:val="16"/>
              </w:rPr>
              <w:t>P2.2-6</w:t>
            </w:r>
          </w:p>
        </w:tc>
        <w:tc>
          <w:tcPr>
            <w:tcW w:type="dxa" w:w="2045"/>
            <w:vAlign w:val="top"/>
          </w:tcPr>
          <w:p>
            <w:r>
              <w:rPr>
                <w:sz w:val="16"/>
              </w:rPr>
              <w:t>AI coding assistants reshape professional identity by creating simultaneous productivity affordances and perceived threats to skill relevance, autonomy, inclusion, and collaboration.</w:t>
            </w:r>
          </w:p>
        </w:tc>
        <w:tc>
          <w:tcPr>
            <w:tcW w:type="dxa" w:w="2045"/>
            <w:vAlign w:val="top"/>
          </w:tcPr>
          <w:p>
            <w:r>
              <w:rPr>
                <w:sz w:val="16"/>
              </w:rPr>
              <w:t>hicks_new_2024; zacharias_developers_2026; flores-saviaga_impact_2025; wang_investigating_2024</w:t>
            </w:r>
          </w:p>
        </w:tc>
        <w:tc>
          <w:tcPr>
            <w:tcW w:type="dxa" w:w="2045"/>
            <w:vAlign w:val="top"/>
          </w:tcPr>
          <w:p>
            <w:r>
              <w:rPr>
                <w:sz w:val="16"/>
              </w:rPr>
              <w:t>moderate</w:t>
            </w:r>
          </w:p>
        </w:tc>
        <w:tc>
          <w:tcPr>
            <w:tcW w:type="dxa" w:w="2045"/>
            <w:vAlign w:val="top"/>
          </w:tcPr>
          <w:p>
            <w:r>
              <w:rPr>
                <w:sz w:val="16"/>
              </w:rPr>
              <w:t>The identity evidence is persuasive but still less connected to objective technical outcomes.</w:t>
            </w:r>
          </w:p>
        </w:tc>
      </w:tr>
    </w:tbl>
    <w:p>
      <w:pPr>
        <w:pStyle w:val="Heading1"/>
      </w:pPr>
      <w:r>
        <w:t>4. References</w:t>
      </w:r>
    </w:p>
    <w:p>
      <w:r>
        <w:t>[1] Identifying the Factors That Influence Trust in AI Code Completion. Brown, Adam; D'Angelo, Sarah; Murillo, Ambar; Jaspan, Ciera; Green, Collin, 2024. Bibkey: brown_identifying_2024.</w:t>
      </w:r>
    </w:p>
    <w:p>
      <w:r>
        <w:t>[2] Investigating and Designing for Trust in AI-powered Code Generation Tools. Wang, Ruotong; Cheng, Ruijia; Ford, Denae; Zimmermann, Thomas, 2024. Bibkey: wang_investigating_2024.</w:t>
      </w:r>
    </w:p>
    <w:p>
      <w:r>
        <w:t>[3] Aligning Offline Metrics and Human Judgments of Value for Code Generation Models. Dibia, Victor; Fourney, Adam; Bansal, Gagan; Poursabzi-Sangdeh, Forough; Liu, Han; Amershi, Saleema, 2023. Bibkey: dibia_aligning_2023.</w:t>
      </w:r>
    </w:p>
    <w:p>
      <w:r>
        <w:t>[4] Generative AI and Developer Workflows: How GitHub Copilot and ChatGPT Influence Solo and Pair Programming. Stray, Viktoria; Moe, Nils Brede; Ganeshan, Nivethika; Kobbenes, Simon, 2025. Bibkey: stray_generative_2025.</w:t>
      </w:r>
    </w:p>
    <w:p>
      <w:r>
        <w:t>[5] Model-Assisted and Human-Guided: Perceptions and Practices of Software Professionals Using LLMs for Coding. Santos, Italo; Magalhaes, Cleyton; Santos, Ronnie de Souza, 2025. Bibkey: santos_model-assisted_2025.</w:t>
      </w:r>
    </w:p>
    <w:p>
      <w:r>
        <w:t>[6] Reading Between the Lines: Modeling User Behavior and Costs in AI-Assisted Programming. Mozannar, Hussein; Bansal, Gagan; Fourney, Adam; Horvitz, Eric, 2024. Bibkey: mozannar_reading_2024.</w:t>
      </w:r>
    </w:p>
    <w:p>
      <w:r>
        <w:t>[7] Comprehension-Performance Gap in GenAI-Assisted Brownfield Programming: A Replication and Extension. Qiao, Yunhan; Hundhausen, Christopher; Haque, Summit; Shihab, Md Istiak Hossain, 2025. Bibkey: qiao_comprehension-performance_2025.</w:t>
      </w:r>
    </w:p>
    <w:p>
      <w:r>
        <w:t>[8] Students' Use of GitHub Copilot for Working with Large Code Bases. Shah, Anshul; Chernova, Anya; Tomson, Elena; Porter, Leo; Griswold, William G.; Soosai Raj, Adalbert Gerald, 2025. Bibkey: shah_students_2025.</w:t>
      </w:r>
    </w:p>
    <w:p>
      <w:r>
        <w:t>[9] It’s Weird That it Knows What I Want: Usability and Interactions with Copilot for Novice Programmers. Prather, James; Reeves, Brent N.; Denny, Paul; Becker, Brett A.; Leinonen, Juho; Luxton-Reilly, Andrew; Powell, Garrett; Finnie-Ansley, James; Santos, Eddie Antonio, 2024. Bibkey: prather_its_2024.</w:t>
      </w:r>
    </w:p>
    <w:p>
      <w:r>
        <w:t>[10] Human-AI Pair Programming: Evaluating Trust, Efficiency, and Defect Incidence. Urs, Arjun Deshraje, 2025. Bibkey: urs_human-ai_2025.</w:t>
      </w:r>
    </w:p>
    <w:p>
      <w:r>
        <w:t>[11] Do Users Write More Insecure Code with AI Assistants?. Perry, Neil; Srivastava, Megha; Kumar, Deepak; Boneh, Dan, 2023. Bibkey: perry_users_2023.</w:t>
      </w:r>
    </w:p>
    <w:p>
      <w:r>
        <w:t>[12] The New Developer: AI Skill Threat, Identity Change &amp; Developer Thriving in the Transition to AI-Assisted Software Development. Hicks, Catherine M.; Lee, Carol S; Foster-Marks, Kristen, 2024. Bibkey: hicks_new_2024.</w:t>
      </w:r>
    </w:p>
    <w:p>
      <w:r>
        <w:t>[13] Developers’ Dilemma: Opportunities and Pitfalls of Generative AI for Software Development. Zacharias, Jan; Popova, Alina; Zahn, Moritz von; Chen, Johannes; Hinz, Oliver, 2026. Bibkey: zacharias_developers_2026.</w:t>
      </w:r>
    </w:p>
    <w:p>
      <w:r>
        <w:t>[14] Conversing with Copilot: Exploring Prompt Engineering for Solving CS1 Problems Using Natural Language. Denny, Paul; Kumar, Viraj; Giacaman, Nasser, 2023. Bibkey: denny_conversing_2023.</w:t>
      </w:r>
    </w:p>
    <w:p>
      <w:r>
        <w:t>[15] Prompting in Practice: Investigating Software Practitioners' Use of Generative AI Tools. Otten, Daniel; Stalnaker, Trevor; Wintersgill, Nathan; Chaparro, Oscar; Poshyvanyk, Denys, 2026. Bibkey: otten_prompting_2026.</w:t>
      </w:r>
    </w:p>
    <w:p>
      <w:r>
        <w:t>[16] An Assessment of Large Language Models for OpenMP-based Code Parallelization: A User Perspective. Mišić, Marko; Dodović, Matija, 2024. Bibkey: misic_assessment_2024.</w:t>
      </w:r>
    </w:p>
    <w:p>
      <w:r>
        <w:t>[17] Continuance Use of AI Coding Assistants Among South Korean Industry Developers: A Survey Case Study with Large Language Models. Park, Eunil, 2025. Bibkey: park_continuance_2025.</w:t>
      </w:r>
    </w:p>
    <w:p>
      <w:r>
        <w:t>[18] An Industry Case Study on Adoption of AI-based Programming Assistants. Davila, Nicole; Wiese, Igor; Steinmacher, Igor; Lucio Da Silva, Lucas; Kawamoto, Andre; Favaro, Gilson Jose Peres; Nunes, Ingrid, 2024. Bibkey: davila_industry_2024.</w:t>
      </w:r>
    </w:p>
    <w:p>
      <w:r>
        <w:t>[19]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Bibkey: klemmer_using_2024.</w:t>
      </w:r>
    </w:p>
    <w:p>
      <w:r>
        <w:t>[20] Automated Code Review In Practice. Cihan, Umut; Haratian, Vahid; İçöz, Arda; Gül, Mert Kaan; Devran, Ömercan; Bayendur, Emircan Furkan; Uçar, Baykal Mehmet; Tüzün, Eray, 2024. Bibkey: cihan_automated_2024.</w:t>
      </w:r>
    </w:p>
    <w:p>
      <w:r>
        <w:t>[21] Impact of an LLM-based Review Assistant in Practice: A Mixed Open-/Closed-source Case Study. Olewicki, Doriane; Da Silva, Leuson; Sghaier, Oussama Ben; Mujahid, Suhaib; Amini, Arezou; Mah, Benjamin; Castelluccio, Marco; Habchi, Sarra; Khomh, Foutse; Adams, Bram, 2026. Bibkey: olewicki_impact_2026.</w:t>
      </w:r>
    </w:p>
    <w:p>
      <w:r>
        <w:t>[22] The Impact of Generative AI Coding Assistants on Developers Who Are Visually Impaired. Flores-Saviaga, Claudia; Hanrahan, Benjamin V.; Imteyaz, Kashif; Clarke, Steven; Savage, Saiph, 2025. Bibkey: flores-saviaga_impact_2025.</w:t>
      </w:r>
    </w:p>
    <w:p>
      <w:r>
        <w:t>[23] Performance, Workload, Emotion, and Self-Efficacy of Novice Programmers Using AI Code Generation. Gardella, Nicholas; Pettit, Raymond; Riggs, Sara L., 2024. Bibkey: gardella_performance_2024.</w:t>
      </w:r>
    </w:p>
    <w:p>
      <w:r>
        <w:t>[24] Will Your Next Pair Programming Partner Be Human? An Empirical Evaluation of Generative AI as a Collaborative Teammate in a Semester-Long Classroom Setting. Lyu, Wenhan; Wang, Yimeng; Sun, Yifan; Zhang, Yixuan, 2025. Bibkey: lyu_will_2025.</w:t>
      </w:r>
    </w:p>
    <w:p>
      <w:r>
        <w:t>[25] CREF: An LLM-Based Conversational Software Repair Framework for Programming Tutors. Yang, Bin; Tian, Hao; Pian, Weiguo; Yu, Haoran; Wang, Haitao; Klein, Jacques; Bissyandé, Tegawendé F.; Jin, Shiqi, 2024. Bibkey: yang_cref_2024.</w:t>
      </w:r>
    </w:p>
    <w:p>
      <w:r>
        <w:t>[26] Ok Pal, We Have to Code That Now: Interaction Patterns of Programming Beginners with a Conversational Chatbot. Mailach, Alina; Gorgosch, Dominik; Siegmund, Norbert; Siegmund, Janet, 2025. Bibkey: mailach_ok_2025.</w:t>
      </w:r>
    </w:p>
    <w:p>
      <w:pPr>
        <w:pStyle w:val="Heading1"/>
      </w:pPr>
      <w:r>
        <w:t>5. Self-validation pass</w:t>
      </w:r>
    </w:p>
    <w:p>
      <w:r>
        <w:t>All inline bibkeys in this artefact exist literally in NB3_HAI_CORE.bib.</w:t>
      </w:r>
    </w:p>
    <w:p>
      <w:r>
        <w:t>The evidence base is restricted to Phase 1.3, Phase 1.4, and Phase 1.5 findings.</w:t>
      </w:r>
    </w:p>
    <w:p>
      <w:r>
        <w:t>Quality tiers in the matrix use only A1, A2, or B.</w:t>
      </w:r>
    </w:p>
    <w:p>
      <w:r>
        <w:t>The References section contains no empty author or year fields and no LaTeX-escaped author or title strings.</w:t>
      </w:r>
    </w:p>
    <w:p>
      <w:r>
        <w:t>British English spelling is used throughout.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