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2.3 — NB3 HAI CORE: Consolidated HAI Evidence Profile</w:t>
      </w:r>
    </w:p>
    <w:p>
      <w:r>
        <w:t>Scope note. This artefact consolidates the six Phase 1 NB3_HAI_CORE sub-topic artefacts and the two Phase 2 cross-cutting syntheses only. No NB4_HAI_SUPPORT evidence is cited. Bibkeys were verified literally against NB3_HAI_CORE.bib; quality tiers were checked against column S (Clasificación) of Relación de Estudios.xlsx; bibliographic titles, authors and years were resolved through the Zotero key mapping into NB3_HAI_CORE.csv.</w:t>
      </w:r>
    </w:p>
    <w:p>
      <w:pPr>
        <w:pStyle w:val="Heading1"/>
      </w:pPr>
      <w:r>
        <w:t>1. Corpus evidence summary table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Pr>
                <w:sz w:val="14"/>
              </w:rPr>
              <w:t>Sub-topic</w:t>
            </w:r>
          </w:p>
        </w:tc>
        <w:tc>
          <w:tcPr>
            <w:tcW w:type="dxa" w:w="2074"/>
            <w:vAlign w:val="top"/>
          </w:tcPr>
          <w:p>
            <w:r>
              <w:rPr>
                <w:sz w:val="14"/>
              </w:rPr>
              <w:t>Papers contributing</w:t>
            </w:r>
          </w:p>
        </w:tc>
        <w:tc>
          <w:tcPr>
            <w:tcW w:type="dxa" w:w="2074"/>
            <w:vAlign w:val="top"/>
          </w:tcPr>
          <w:p>
            <w:r>
              <w:rPr>
                <w:sz w:val="14"/>
              </w:rPr>
              <w:t>Strongest anchor(s)</w:t>
            </w:r>
          </w:p>
        </w:tc>
        <w:tc>
          <w:tcPr>
            <w:tcW w:type="dxa" w:w="2074"/>
            <w:vAlign w:val="top"/>
          </w:tcPr>
          <w:p>
            <w:r>
              <w:rPr>
                <w:sz w:val="14"/>
              </w:rPr>
              <w:t>Confidence level</w:t>
            </w:r>
          </w:p>
        </w:tc>
        <w:tc>
          <w:tcPr>
            <w:tcW w:type="dxa" w:w="2074"/>
            <w:vAlign w:val="top"/>
          </w:tcPr>
          <w:p>
            <w:r>
              <w:rPr>
                <w:sz w:val="14"/>
              </w:rPr>
              <w:t>Key caveat for Phase 3 use</w:t>
            </w:r>
          </w:p>
        </w:tc>
      </w:tr>
      <w:tr>
        <w:tc>
          <w:tcPr>
            <w:tcW w:type="dxa" w:w="2074"/>
            <w:vAlign w:val="top"/>
          </w:tcPr>
          <w:p>
            <w:r>
              <w:rPr>
                <w:sz w:val="14"/>
              </w:rPr>
              <w:t>Prompting dynamics and conversational strategies</w:t>
            </w:r>
          </w:p>
        </w:tc>
        <w:tc>
          <w:tcPr>
            <w:tcW w:type="dxa" w:w="2074"/>
            <w:vAlign w:val="top"/>
          </w:tcPr>
          <w:p>
            <w:r>
              <w:rPr>
                <w:sz w:val="14"/>
              </w:rPr>
              <w:t>nam_understanding_2025; denny_conversing_2023; barke_grounded_2023; mailach_ok_2025; fakhoury_llm-based_2024; hao_empirical_2024; khojah_beyond_2024; zhang_demystifying_2023; kruse_can_2024; otten_prompting_2026; hyun_experimental_2025; larbi_when_2025; chen_nlperturbator_2026; li_refining_2025; das_why_2025; kim_codeassistbench_2025</w:t>
            </w:r>
          </w:p>
        </w:tc>
        <w:tc>
          <w:tcPr>
            <w:tcW w:type="dxa" w:w="2074"/>
            <w:vAlign w:val="top"/>
          </w:tcPr>
          <w:p>
            <w:r>
              <w:rPr>
                <w:sz w:val="14"/>
              </w:rPr>
              <w:t>Structured prompting combines task intent, code context and expected edit behaviour; multi-turn GitHub conversations accounted for 33.2% of PR conversations and 36.9% of issue conversations; ambiguous, contradictory and incomplete prompts degrade reliability.</w:t>
            </w:r>
          </w:p>
        </w:tc>
        <w:tc>
          <w:tcPr>
            <w:tcW w:type="dxa" w:w="2074"/>
            <w:vAlign w:val="top"/>
          </w:tcPr>
          <w:p>
            <w:r>
              <w:rPr>
                <w:sz w:val="14"/>
              </w:rPr>
              <w:t>High</w:t>
            </w:r>
          </w:p>
        </w:tc>
        <w:tc>
          <w:tcPr>
            <w:tcW w:type="dxa" w:w="2074"/>
            <w:vAlign w:val="top"/>
          </w:tcPr>
          <w:p>
            <w:r>
              <w:rPr>
                <w:sz w:val="14"/>
              </w:rPr>
              <w:t>Phase 3 should avoid treating prompting as a generic skill; evidence is strong but mixes professional, novice, benchmark and repository settings.</w:t>
            </w:r>
          </w:p>
        </w:tc>
      </w:tr>
      <w:tr>
        <w:tc>
          <w:tcPr>
            <w:tcW w:type="dxa" w:w="2074"/>
            <w:vAlign w:val="top"/>
          </w:tcPr>
          <w:p>
            <w:r>
              <w:rPr>
                <w:sz w:val="14"/>
              </w:rPr>
              <w:t>Workflow integration, collaboration and agentic interaction</w:t>
            </w:r>
          </w:p>
        </w:tc>
        <w:tc>
          <w:tcPr>
            <w:tcW w:type="dxa" w:w="2074"/>
            <w:vAlign w:val="top"/>
          </w:tcPr>
          <w:p>
            <w:r>
              <w:rPr>
                <w:sz w:val="14"/>
              </w:rPr>
              <w:t>barke_grounded_2023; mozannar_reading_2024; khojah_beyond_2024; stray_generative_2025; stray_human-ai_2025; cui_productivity_2024; song_impact_2024; chatterjee_impact_2024; grewal_analyzing_2024; hao_empirical_2024; tufano_developers_2026; lyu_will_2025; pu_assistance_2025; xia_agentless_2024; zhang_autocoderover_2024; yin_comprehensive_2025; liu_e2edev_2026; davila_industry_2024</w:t>
            </w:r>
          </w:p>
        </w:tc>
        <w:tc>
          <w:tcPr>
            <w:tcW w:type="dxa" w:w="2074"/>
            <w:vAlign w:val="top"/>
          </w:tcPr>
          <w:p>
            <w:r>
              <w:rPr>
                <w:sz w:val="14"/>
              </w:rPr>
              <w:t>Developers move between acceleration, exploration, delegation and verification; AI conversations and generated artefacts enter PRs, issues, commits and disclosed OSS histories; agents require structured localisation, context construction, patching and validation.</w:t>
            </w:r>
          </w:p>
        </w:tc>
        <w:tc>
          <w:tcPr>
            <w:tcW w:type="dxa" w:w="2074"/>
            <w:vAlign w:val="top"/>
          </w:tcPr>
          <w:p>
            <w:r>
              <w:rPr>
                <w:sz w:val="14"/>
              </w:rPr>
              <w:t>High</w:t>
            </w:r>
          </w:p>
        </w:tc>
        <w:tc>
          <w:tcPr>
            <w:tcW w:type="dxa" w:w="2074"/>
            <w:vAlign w:val="top"/>
          </w:tcPr>
          <w:p>
            <w:r>
              <w:rPr>
                <w:sz w:val="14"/>
              </w:rPr>
              <w:t>Evidence is broad, but workflow effects differ by solo, pair, team, open-source, industrial and agentic contexts.</w:t>
            </w:r>
          </w:p>
        </w:tc>
      </w:tr>
      <w:tr>
        <w:tc>
          <w:tcPr>
            <w:tcW w:type="dxa" w:w="2074"/>
            <w:vAlign w:val="top"/>
          </w:tcPr>
          <w:p>
            <w:r>
              <w:rPr>
                <w:sz w:val="14"/>
              </w:rPr>
              <w:t>Trust, verification and reliance behaviour</w:t>
            </w:r>
          </w:p>
        </w:tc>
        <w:tc>
          <w:tcPr>
            <w:tcW w:type="dxa" w:w="2074"/>
            <w:vAlign w:val="top"/>
          </w:tcPr>
          <w:p>
            <w:r>
              <w:rPr>
                <w:sz w:val="14"/>
              </w:rPr>
              <w:t>brown_identifying_2024; wang_investigating_2024; perry_users_2023; klemmer_using_2024; shah_students_2025; olausson_is_2024; olewicki_impact_2026; dibia_aligning_2023; urs_human-ai_2025; nguyen_empirical_2022; grewal_analyzing_2024; stray_generative_2025; kong_demystifying_2025; agarwal_copilot_2024; cihan_automated_2024</w:t>
            </w:r>
          </w:p>
        </w:tc>
        <w:tc>
          <w:tcPr>
            <w:tcW w:type="dxa" w:w="2074"/>
            <w:vAlign w:val="top"/>
          </w:tcPr>
          <w:p>
            <w:r>
              <w:rPr>
                <w:sz w:val="14"/>
              </w:rPr>
              <w:t>Trust is calibrated through suggestion quality, familiarity, perceived control, effort and verification; security tasks expose over-reliance; review comments show low direct acceptance but diagnostic value.</w:t>
            </w:r>
          </w:p>
        </w:tc>
        <w:tc>
          <w:tcPr>
            <w:tcW w:type="dxa" w:w="2074"/>
            <w:vAlign w:val="top"/>
          </w:tcPr>
          <w:p>
            <w:r>
              <w:rPr>
                <w:sz w:val="14"/>
              </w:rPr>
              <w:t>High</w:t>
            </w:r>
          </w:p>
        </w:tc>
        <w:tc>
          <w:tcPr>
            <w:tcW w:type="dxa" w:w="2074"/>
            <w:vAlign w:val="top"/>
          </w:tcPr>
          <w:p>
            <w:r>
              <w:rPr>
                <w:sz w:val="14"/>
              </w:rPr>
              <w:t>CORE evidence is stronger for over-reliance and selective acceptance than for systematic under-reliance or long-term trust evolution.</w:t>
            </w:r>
          </w:p>
        </w:tc>
      </w:tr>
      <w:tr>
        <w:tc>
          <w:tcPr>
            <w:tcW w:type="dxa" w:w="2074"/>
            <w:vAlign w:val="top"/>
          </w:tcPr>
          <w:p>
            <w:r>
              <w:rPr>
                <w:sz w:val="14"/>
              </w:rPr>
              <w:t>Developer experience, usability and perceived value</w:t>
            </w:r>
          </w:p>
        </w:tc>
        <w:tc>
          <w:tcPr>
            <w:tcW w:type="dxa" w:w="2074"/>
            <w:vAlign w:val="top"/>
          </w:tcPr>
          <w:p>
            <w:r>
              <w:rPr>
                <w:sz w:val="14"/>
              </w:rPr>
              <w:t>zhang_demystifying_2023; davila_industry_2024; santos_model-assisted_2025; park_continuance_2025; zacharias_developers_2026; yu_evaluating_2026; hicks_new_2024; misic_assessment_2024; flores-saviaga_impact_2025; ge_survey_2025; chatterjee_impact_2024; otten_prompting_2026; stray_human-ai_2025; mozannar_reading_2024</w:t>
            </w:r>
          </w:p>
        </w:tc>
        <w:tc>
          <w:tcPr>
            <w:tcW w:type="dxa" w:w="2074"/>
            <w:vAlign w:val="top"/>
          </w:tcPr>
          <w:p>
            <w:r>
              <w:rPr>
                <w:sz w:val="14"/>
              </w:rPr>
              <w:t>Perceived value depends on inspection cost, prompt effort, workflow compatibility, confidentiality, accessibility and professional identity; AI Skill Threat affected 43-45% of surveyed developers.</w:t>
            </w:r>
          </w:p>
        </w:tc>
        <w:tc>
          <w:tcPr>
            <w:tcW w:type="dxa" w:w="2074"/>
            <w:vAlign w:val="top"/>
          </w:tcPr>
          <w:p>
            <w:r>
              <w:rPr>
                <w:sz w:val="14"/>
              </w:rPr>
              <w:t>Moderate</w:t>
            </w:r>
          </w:p>
        </w:tc>
        <w:tc>
          <w:tcPr>
            <w:tcW w:type="dxa" w:w="2074"/>
            <w:vAlign w:val="top"/>
          </w:tcPr>
          <w:p>
            <w:r>
              <w:rPr>
                <w:sz w:val="14"/>
              </w:rPr>
              <w:t>Mostly perception/process evidence; Phase 3 should avoid converting satisfaction into realised productivity or quality.</w:t>
            </w:r>
          </w:p>
        </w:tc>
      </w:tr>
      <w:tr>
        <w:tc>
          <w:tcPr>
            <w:tcW w:type="dxa" w:w="2074"/>
            <w:vAlign w:val="top"/>
          </w:tcPr>
          <w:p>
            <w:r>
              <w:rPr>
                <w:sz w:val="14"/>
              </w:rPr>
              <w:t>Learning, novices and educational contexts</w:t>
            </w:r>
          </w:p>
        </w:tc>
        <w:tc>
          <w:tcPr>
            <w:tcW w:type="dxa" w:w="2074"/>
            <w:vAlign w:val="top"/>
          </w:tcPr>
          <w:p>
            <w:r>
              <w:rPr>
                <w:sz w:val="14"/>
              </w:rPr>
              <w:t>prather_its_2024; savelka_can_2023; denny_conversing_2023; gardella_performance_2024; vasiliniuc_case_2023; lyu_will_2025; shihab_effects_2025; qiao_comprehension-performance_2025; shah_students_2025; yang_cref_2024; mailach_ok_2025</w:t>
            </w:r>
          </w:p>
        </w:tc>
        <w:tc>
          <w:tcPr>
            <w:tcW w:type="dxa" w:w="2074"/>
            <w:vAlign w:val="top"/>
          </w:tcPr>
          <w:p>
            <w:r>
              <w:rPr>
                <w:sz w:val="14"/>
              </w:rPr>
              <w:t>AI can raise apparent task progress while leaving comprehension weaker; novices need prompt decomposition, recovery strategies, explanation and repair scaffolds.</w:t>
            </w:r>
          </w:p>
        </w:tc>
        <w:tc>
          <w:tcPr>
            <w:tcW w:type="dxa" w:w="2074"/>
            <w:vAlign w:val="top"/>
          </w:tcPr>
          <w:p>
            <w:r>
              <w:rPr>
                <w:sz w:val="14"/>
              </w:rPr>
              <w:t>High</w:t>
            </w:r>
          </w:p>
        </w:tc>
        <w:tc>
          <w:tcPr>
            <w:tcW w:type="dxa" w:w="2074"/>
            <w:vAlign w:val="top"/>
          </w:tcPr>
          <w:p>
            <w:r>
              <w:rPr>
                <w:sz w:val="14"/>
              </w:rPr>
              <w:t>Evidence is thinner on retention, transfer to unaided programming, instructor assessment practices and equity across novice populations.</w:t>
            </w:r>
          </w:p>
        </w:tc>
      </w:tr>
      <w:tr>
        <w:tc>
          <w:tcPr>
            <w:tcW w:type="dxa" w:w="2074"/>
            <w:vAlign w:val="top"/>
          </w:tcPr>
          <w:p>
            <w:r>
              <w:rPr>
                <w:sz w:val="14"/>
              </w:rPr>
              <w:t>Robustness, prompt sensitivity and agentic reliability</w:t>
            </w:r>
          </w:p>
        </w:tc>
        <w:tc>
          <w:tcPr>
            <w:tcW w:type="dxa" w:w="2074"/>
            <w:vAlign w:val="top"/>
          </w:tcPr>
          <w:p>
            <w:r>
              <w:rPr>
                <w:sz w:val="14"/>
              </w:rPr>
              <w:t>larbi_when_2025; chen_nlperturbator_2026; li_refining_2025; nguyen_empirical_2022; olausson_is_2024; xia_agentless_2024; zhang_autocoderover_2024; yin_comprehensive_2025; liu_e2edev_2026; kong_demystifying_2025; aalsteinsson_rethinking_2025; agarwal_copilot_2024; ge_survey_2025</w:t>
            </w:r>
          </w:p>
        </w:tc>
        <w:tc>
          <w:tcPr>
            <w:tcW w:type="dxa" w:w="2074"/>
            <w:vAlign w:val="top"/>
          </w:tcPr>
          <w:p>
            <w:r>
              <w:rPr>
                <w:sz w:val="14"/>
              </w:rPr>
              <w:t>Reliability is conditional on prompt quality, semantic stability, task context, repair strategy, retrieval/localisation, validation and benchmark validity.</w:t>
            </w:r>
          </w:p>
        </w:tc>
        <w:tc>
          <w:tcPr>
            <w:tcW w:type="dxa" w:w="2074"/>
            <w:vAlign w:val="top"/>
          </w:tcPr>
          <w:p>
            <w:r>
              <w:rPr>
                <w:sz w:val="14"/>
              </w:rPr>
              <w:t>High</w:t>
            </w:r>
          </w:p>
        </w:tc>
        <w:tc>
          <w:tcPr>
            <w:tcW w:type="dxa" w:w="2074"/>
            <w:vAlign w:val="top"/>
          </w:tcPr>
          <w:p>
            <w:r>
              <w:rPr>
                <w:sz w:val="14"/>
              </w:rPr>
              <w:t>Phase 3 must separate benchmark success, agent orchestration and developer-facing reliability; memorisation risks remain unresolved.</w:t>
            </w:r>
          </w:p>
        </w:tc>
      </w:tr>
    </w:tbl>
    <w:p>
      <w:pPr>
        <w:pStyle w:val="Heading1"/>
      </w:pPr>
      <w:r>
        <w:t>2. Consolidated analytical narrative</w:t>
      </w:r>
    </w:p>
    <w:p>
      <w:r>
        <w:t>The HAI CORE corpus establishes three primary empirical claims. First, prompting is an interaction infrastructure for software work, not a peripheral wording technique. Developers formulate prompts by combining intent, code context and desired edit behaviour [1]; they use prompting for both acceleration and exploration [3]; and professional ChatGPT use extends to explanation, debugging, planning and clarification rather than code generation alone [7]. The confidence level for this claim is high because it is replicated across observational, practitioner and collaborative evidence, and because robustness papers show why the prompt channel matters technically: ambiguous or incomplete descriptions [12], natural-language perturbations [13] and faulty premises [14] can materially change generated-code outcomes.</w:t>
      </w:r>
    </w:p>
    <w:p>
      <w:r>
        <w:t>Second, AI-assisted programming reconfigures workflow by moving developers between acceleration, delegation, review and orchestration. Suggestions create value only after reading, editing, rejection and validation costs are counted [17]. In collaborative settings, AI interaction becomes visible in shared PR and issue conversations [6], commit-level reuse of ChatGPT-generated code [23] and self-admitted GenAI use in open-source project artefacts [24]. Agentic papers extend the same mechanism: Agentless decomposes repair into localisation, patch generation and validation [27], AutoCodeRover depends on retrieval, context construction and patch validation [28], and end-to-end benchmarks expose coordination failures that isolated code-generation tasks miss [30]. Confidence is high, with the caveat that workflow effects vary across solo, pair, team and benchmarked agentic settings.</w:t>
      </w:r>
    </w:p>
    <w:p>
      <w:r>
        <w:t>Third, effective HAI depends on calibrated reliance rather than generic trust. Developers accept suggestions when quality, familiarity and control support local fit [32]; they ask for quality indicators and controllability mechanisms rather than blind confidence scores [33]; and human judgements of value align strongly with perceived accuracy and effort [39]. The strongest negative evidence comes from security and novice contexts: AI-assisted users in security tasks produced more insecure code while reporting higher confidence [34], and novice pair-programming participants showed a 71% defect-rate increase under AI assistance whereas senior developers did not show the same significant increase [40]. Confidence is high for the over-reliance and verification claim, but lower for under-reliance because the Phase 1 evidence contains fewer direct studies of beneficial suggestions being rejected.</w:t>
      </w:r>
    </w:p>
    <w:p>
      <w:r>
        <w:t>The six sub-topics connect into a coherent HAI argument. Prompting supplies the infrastructure through which developers specify intent, expose context and repair mismatches. Workflow evidence then shows where that infrastructure is used: inside editor completions, conversational problem solving, PRs, issues, commits, pair-programming arrangements and autonomous repair pipelines. Trust evidence explains why workflow value is conditional, because every generated artefact must be judged for fit, effort, safety and controllability. Developer-experience evidence adds that this judgement is not purely technical: usability, satisfaction, confidentiality, accessibility, identity and continuance all shape whether assistance is sustainable [45][46][49]. Learning evidence then identifies the most fragile population: novices can complete tasks with AI while failing to develop durable code comprehension [58][36]. Robustness evidence closes the chain by treating reliability as a system property across prompt quality, semantic stability, validation and benchmark design, not as a model score detached from human work.</w:t>
      </w:r>
    </w:p>
    <w:p>
      <w:r>
        <w:t>Three limitations are most important for Phase 3. The first is longitudinal weakness. The CORE corpus shows adoption, continuance, workflow embedding and identity pressure, but it rarely follows teams long enough to know whether calibration improves, dependency grows, or review practices stabilise. The second is measurement separation. Several studies report perceived productivity, satisfaction or visible task progress, but the stronger HAI interpretation requires paired evidence on comprehension, defects, security, maintainability and verification effort [18][22]. The third is population and setting coverage. The corpus contains valuable evidence on students, visually impaired developers and industrial practitioners, yet accessibility, novice-to-expert transitions, non-open-source teams and organisational governance remain unevenly connected to technical outcome measures [51][31].</w:t>
      </w:r>
    </w:p>
    <w:p>
      <w:r>
        <w:t>These findings qualify the broader SLR argument in three ways. Claims about productivity become more conditional: speed is plausible when tasks are familiar and outputs are cheap to inspect, but it weakens when reading, correction, security or integration costs dominate. Claims about socio-technical reconfiguration become stronger: the CORE corpus consistently shows that AI assistance changes task allocation, review practices, collaboration traces, identity and learning processes. Claims about autonomy remain unresolved: agentic systems can coordinate larger development pipelines, but their reliability depends on retrieval, context construction, validation, benchmark validity and human oversight [29][42][60]. Therefore, HAI CORE does not support a simple replacement narrative. It supports a calibration narrative: AI assistance is valuable when developers can formulate, inspect, contest, integrate and learn from the interaction without surrendering responsibility for the resulting software.</w:t>
      </w:r>
    </w:p>
    <w:p>
      <w:pPr>
        <w:pStyle w:val="Heading1"/>
      </w:pPr>
      <w:r>
        <w:t>3. Phase 3 integration notes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tcPr>
          <w:p>
            <w:r>
              <w:rPr>
                <w:sz w:val="14"/>
              </w:rPr>
              <w:t>Note ID</w:t>
            </w:r>
          </w:p>
        </w:tc>
        <w:tc>
          <w:tcPr>
            <w:tcW w:type="dxa" w:w="2592"/>
            <w:vAlign w:val="top"/>
          </w:tcPr>
          <w:p>
            <w:r>
              <w:rPr>
                <w:sz w:val="14"/>
              </w:rPr>
              <w:t>Recommendation</w:t>
            </w:r>
          </w:p>
        </w:tc>
        <w:tc>
          <w:tcPr>
            <w:tcW w:type="dxa" w:w="2592"/>
            <w:vAlign w:val="top"/>
          </w:tcPr>
          <w:p>
            <w:r>
              <w:rPr>
                <w:sz w:val="14"/>
              </w:rPr>
              <w:t>Relevant CORE bibkeys</w:t>
            </w:r>
          </w:p>
        </w:tc>
        <w:tc>
          <w:tcPr>
            <w:tcW w:type="dxa" w:w="2592"/>
            <w:vAlign w:val="top"/>
          </w:tcPr>
          <w:p>
            <w:r>
              <w:rPr>
                <w:sz w:val="14"/>
              </w:rPr>
              <w:t>Integration risk</w:t>
            </w:r>
          </w:p>
        </w:tc>
      </w:tr>
      <w:tr>
        <w:tc>
          <w:tcPr>
            <w:tcW w:type="dxa" w:w="2592"/>
            <w:vAlign w:val="top"/>
          </w:tcPr>
          <w:p>
            <w:r>
              <w:rPr>
                <w:sz w:val="14"/>
              </w:rPr>
              <w:t>N1</w:t>
            </w:r>
          </w:p>
        </w:tc>
        <w:tc>
          <w:tcPr>
            <w:tcW w:type="dxa" w:w="2592"/>
            <w:vAlign w:val="top"/>
          </w:tcPr>
          <w:p>
            <w:r>
              <w:rPr>
                <w:sz w:val="14"/>
              </w:rPr>
              <w:t>Use NB4 to test whether prompt quality remains a system-level property when prompt logs are absent or reconstructed indirectly.</w:t>
            </w:r>
          </w:p>
        </w:tc>
        <w:tc>
          <w:tcPr>
            <w:tcW w:type="dxa" w:w="2592"/>
            <w:vAlign w:val="top"/>
          </w:tcPr>
          <w:p>
            <w:r>
              <w:rPr>
                <w:sz w:val="14"/>
              </w:rPr>
              <w:t>nam_understanding_2025; larbi_when_2025; chen_nlperturbator_2026; li_refining_2025</w:t>
            </w:r>
          </w:p>
        </w:tc>
        <w:tc>
          <w:tcPr>
            <w:tcW w:type="dxa" w:w="2592"/>
            <w:vAlign w:val="top"/>
          </w:tcPr>
          <w:p>
            <w:r>
              <w:rPr>
                <w:sz w:val="14"/>
              </w:rPr>
              <w:t>medium</w:t>
            </w:r>
          </w:p>
        </w:tc>
      </w:tr>
      <w:tr>
        <w:tc>
          <w:tcPr>
            <w:tcW w:type="dxa" w:w="2592"/>
            <w:vAlign w:val="top"/>
          </w:tcPr>
          <w:p>
            <w:r>
              <w:rPr>
                <w:sz w:val="14"/>
              </w:rPr>
              <w:t>N2</w:t>
            </w:r>
          </w:p>
        </w:tc>
        <w:tc>
          <w:tcPr>
            <w:tcW w:type="dxa" w:w="2592"/>
            <w:vAlign w:val="top"/>
          </w:tcPr>
          <w:p>
            <w:r>
              <w:rPr>
                <w:sz w:val="14"/>
              </w:rPr>
              <w:t>Separate productivity claims into local acceleration, exploratory support and verification-adjusted value; do not merge throughput with perceived usefulness.</w:t>
            </w:r>
          </w:p>
        </w:tc>
        <w:tc>
          <w:tcPr>
            <w:tcW w:type="dxa" w:w="2592"/>
            <w:vAlign w:val="top"/>
          </w:tcPr>
          <w:p>
            <w:r>
              <w:rPr>
                <w:sz w:val="14"/>
              </w:rPr>
              <w:t>barke_grounded_2023; mozannar_reading_2024; cui_productivity_2024; stray_generative_2025</w:t>
            </w:r>
          </w:p>
        </w:tc>
        <w:tc>
          <w:tcPr>
            <w:tcW w:type="dxa" w:w="2592"/>
            <w:vAlign w:val="top"/>
          </w:tcPr>
          <w:p>
            <w:r>
              <w:rPr>
                <w:sz w:val="14"/>
              </w:rPr>
              <w:t>high</w:t>
            </w:r>
          </w:p>
        </w:tc>
      </w:tr>
      <w:tr>
        <w:tc>
          <w:tcPr>
            <w:tcW w:type="dxa" w:w="2592"/>
            <w:vAlign w:val="top"/>
          </w:tcPr>
          <w:p>
            <w:r>
              <w:rPr>
                <w:sz w:val="14"/>
              </w:rPr>
              <w:t>N3</w:t>
            </w:r>
          </w:p>
        </w:tc>
        <w:tc>
          <w:tcPr>
            <w:tcW w:type="dxa" w:w="2592"/>
            <w:vAlign w:val="top"/>
          </w:tcPr>
          <w:p>
            <w:r>
              <w:rPr>
                <w:sz w:val="14"/>
              </w:rPr>
              <w:t>Treat shared conversations, commits and self-admitted GenAI use as traceability evidence, but avoid double-counting them as independent productivity gains.</w:t>
            </w:r>
          </w:p>
        </w:tc>
        <w:tc>
          <w:tcPr>
            <w:tcW w:type="dxa" w:w="2592"/>
            <w:vAlign w:val="top"/>
          </w:tcPr>
          <w:p>
            <w:r>
              <w:rPr>
                <w:sz w:val="14"/>
              </w:rPr>
              <w:t>hao_empirical_2024; grewal_analyzing_2024; tufano_developers_2026</w:t>
            </w:r>
          </w:p>
        </w:tc>
        <w:tc>
          <w:tcPr>
            <w:tcW w:type="dxa" w:w="2592"/>
            <w:vAlign w:val="top"/>
          </w:tcPr>
          <w:p>
            <w:r>
              <w:rPr>
                <w:sz w:val="14"/>
              </w:rPr>
              <w:t>medium</w:t>
            </w:r>
          </w:p>
        </w:tc>
      </w:tr>
      <w:tr>
        <w:tc>
          <w:tcPr>
            <w:tcW w:type="dxa" w:w="2592"/>
            <w:vAlign w:val="top"/>
          </w:tcPr>
          <w:p>
            <w:r>
              <w:rPr>
                <w:sz w:val="14"/>
              </w:rPr>
              <w:t>N4</w:t>
            </w:r>
          </w:p>
        </w:tc>
        <w:tc>
          <w:tcPr>
            <w:tcW w:type="dxa" w:w="2592"/>
            <w:vAlign w:val="top"/>
          </w:tcPr>
          <w:p>
            <w:r>
              <w:rPr>
                <w:sz w:val="14"/>
              </w:rPr>
              <w:t>Triangulate trust calibration by pairing subjective trust or confidence with behavioural evidence such as acceptance, editing, testing, rejection or defect outcomes.</w:t>
            </w:r>
          </w:p>
        </w:tc>
        <w:tc>
          <w:tcPr>
            <w:tcW w:type="dxa" w:w="2592"/>
            <w:vAlign w:val="top"/>
          </w:tcPr>
          <w:p>
            <w:r>
              <w:rPr>
                <w:sz w:val="14"/>
              </w:rPr>
              <w:t>brown_identifying_2024; wang_investigating_2024; dibia_aligning_2023; urs_human-ai_2025</w:t>
            </w:r>
          </w:p>
        </w:tc>
        <w:tc>
          <w:tcPr>
            <w:tcW w:type="dxa" w:w="2592"/>
            <w:vAlign w:val="top"/>
          </w:tcPr>
          <w:p>
            <w:r>
              <w:rPr>
                <w:sz w:val="14"/>
              </w:rPr>
              <w:t>high</w:t>
            </w:r>
          </w:p>
        </w:tc>
      </w:tr>
      <w:tr>
        <w:tc>
          <w:tcPr>
            <w:tcW w:type="dxa" w:w="2592"/>
            <w:vAlign w:val="top"/>
          </w:tcPr>
          <w:p>
            <w:r>
              <w:rPr>
                <w:sz w:val="14"/>
              </w:rPr>
              <w:t>N5</w:t>
            </w:r>
          </w:p>
        </w:tc>
        <w:tc>
          <w:tcPr>
            <w:tcW w:type="dxa" w:w="2592"/>
            <w:vAlign w:val="top"/>
          </w:tcPr>
          <w:p>
            <w:r>
              <w:rPr>
                <w:sz w:val="14"/>
              </w:rPr>
              <w:t>Keep security-sensitive reliance distinct from routine coding reliance, because confidence can rise while output security falls.</w:t>
            </w:r>
          </w:p>
        </w:tc>
        <w:tc>
          <w:tcPr>
            <w:tcW w:type="dxa" w:w="2592"/>
            <w:vAlign w:val="top"/>
          </w:tcPr>
          <w:p>
            <w:r>
              <w:rPr>
                <w:sz w:val="14"/>
              </w:rPr>
              <w:t>perry_users_2023; klemmer_using_2024; kong_demystifying_2025</w:t>
            </w:r>
          </w:p>
        </w:tc>
        <w:tc>
          <w:tcPr>
            <w:tcW w:type="dxa" w:w="2592"/>
            <w:vAlign w:val="top"/>
          </w:tcPr>
          <w:p>
            <w:r>
              <w:rPr>
                <w:sz w:val="14"/>
              </w:rPr>
              <w:t>high</w:t>
            </w:r>
          </w:p>
        </w:tc>
      </w:tr>
      <w:tr>
        <w:tc>
          <w:tcPr>
            <w:tcW w:type="dxa" w:w="2592"/>
            <w:vAlign w:val="top"/>
          </w:tcPr>
          <w:p>
            <w:r>
              <w:rPr>
                <w:sz w:val="14"/>
              </w:rPr>
              <w:t>N6</w:t>
            </w:r>
          </w:p>
        </w:tc>
        <w:tc>
          <w:tcPr>
            <w:tcW w:type="dxa" w:w="2592"/>
            <w:vAlign w:val="top"/>
          </w:tcPr>
          <w:p>
            <w:r>
              <w:rPr>
                <w:sz w:val="14"/>
              </w:rPr>
              <w:t>Use NB4 educational evidence to test whether visible completion and durable comprehension diverge across course levels and assessment designs.</w:t>
            </w:r>
          </w:p>
        </w:tc>
        <w:tc>
          <w:tcPr>
            <w:tcW w:type="dxa" w:w="2592"/>
            <w:vAlign w:val="top"/>
          </w:tcPr>
          <w:p>
            <w:r>
              <w:rPr>
                <w:sz w:val="14"/>
              </w:rPr>
              <w:t>qiao_comprehension-performance_2025; shah_students_2025; prather_its_2024; lyu_will_2025</w:t>
            </w:r>
          </w:p>
        </w:tc>
        <w:tc>
          <w:tcPr>
            <w:tcW w:type="dxa" w:w="2592"/>
            <w:vAlign w:val="top"/>
          </w:tcPr>
          <w:p>
            <w:r>
              <w:rPr>
                <w:sz w:val="14"/>
              </w:rPr>
              <w:t>high</w:t>
            </w:r>
          </w:p>
        </w:tc>
      </w:tr>
      <w:tr>
        <w:tc>
          <w:tcPr>
            <w:tcW w:type="dxa" w:w="2592"/>
            <w:vAlign w:val="top"/>
          </w:tcPr>
          <w:p>
            <w:r>
              <w:rPr>
                <w:sz w:val="14"/>
              </w:rPr>
              <w:t>N7</w:t>
            </w:r>
          </w:p>
        </w:tc>
        <w:tc>
          <w:tcPr>
            <w:tcW w:type="dxa" w:w="2592"/>
            <w:vAlign w:val="top"/>
          </w:tcPr>
          <w:p>
            <w:r>
              <w:rPr>
                <w:sz w:val="14"/>
              </w:rPr>
              <w:t>When integrating agent studies, classify evidence by pipeline component: localisation, retrieval, patch generation, validation, review or end-to-end coordination.</w:t>
            </w:r>
          </w:p>
        </w:tc>
        <w:tc>
          <w:tcPr>
            <w:tcW w:type="dxa" w:w="2592"/>
            <w:vAlign w:val="top"/>
          </w:tcPr>
          <w:p>
            <w:r>
              <w:rPr>
                <w:sz w:val="14"/>
              </w:rPr>
              <w:t>xia_agentless_2024; zhang_autocoderover_2024; yin_comprehensive_2025; liu_e2edev_2026</w:t>
            </w:r>
          </w:p>
        </w:tc>
        <w:tc>
          <w:tcPr>
            <w:tcW w:type="dxa" w:w="2592"/>
            <w:vAlign w:val="top"/>
          </w:tcPr>
          <w:p>
            <w:r>
              <w:rPr>
                <w:sz w:val="14"/>
              </w:rPr>
              <w:t>medium</w:t>
            </w:r>
          </w:p>
        </w:tc>
      </w:tr>
      <w:tr>
        <w:tc>
          <w:tcPr>
            <w:tcW w:type="dxa" w:w="2592"/>
            <w:vAlign w:val="top"/>
          </w:tcPr>
          <w:p>
            <w:r>
              <w:rPr>
                <w:sz w:val="14"/>
              </w:rPr>
              <w:t>N8</w:t>
            </w:r>
          </w:p>
        </w:tc>
        <w:tc>
          <w:tcPr>
            <w:tcW w:type="dxa" w:w="2592"/>
            <w:vAlign w:val="top"/>
          </w:tcPr>
          <w:p>
            <w:r>
              <w:rPr>
                <w:sz w:val="14"/>
              </w:rPr>
              <w:t>Flag accessibility and identity evidence as HAI mechanisms rather than peripheral user-experience comments.</w:t>
            </w:r>
          </w:p>
        </w:tc>
        <w:tc>
          <w:tcPr>
            <w:tcW w:type="dxa" w:w="2592"/>
            <w:vAlign w:val="top"/>
          </w:tcPr>
          <w:p>
            <w:r>
              <w:rPr>
                <w:sz w:val="14"/>
              </w:rPr>
              <w:t>flores-saviaga_impact_2025; hicks_new_2024; zacharias_developers_2026</w:t>
            </w:r>
          </w:p>
        </w:tc>
        <w:tc>
          <w:tcPr>
            <w:tcW w:type="dxa" w:w="2592"/>
            <w:vAlign w:val="top"/>
          </w:tcPr>
          <w:p>
            <w:r>
              <w:rPr>
                <w:sz w:val="14"/>
              </w:rPr>
              <w:t>medium</w:t>
            </w:r>
          </w:p>
        </w:tc>
      </w:tr>
      <w:tr>
        <w:tc>
          <w:tcPr>
            <w:tcW w:type="dxa" w:w="2592"/>
            <w:vAlign w:val="top"/>
          </w:tcPr>
          <w:p>
            <w:r>
              <w:rPr>
                <w:sz w:val="14"/>
              </w:rPr>
              <w:t>N9</w:t>
            </w:r>
          </w:p>
        </w:tc>
        <w:tc>
          <w:tcPr>
            <w:tcW w:type="dxa" w:w="2592"/>
            <w:vAlign w:val="top"/>
          </w:tcPr>
          <w:p>
            <w:r>
              <w:rPr>
                <w:sz w:val="14"/>
              </w:rPr>
              <w:t>Do not interpret low direct acceptance of AI review comments as failure only; integrate diagnostic-tip value and human gatekeeping.</w:t>
            </w:r>
          </w:p>
        </w:tc>
        <w:tc>
          <w:tcPr>
            <w:tcW w:type="dxa" w:w="2592"/>
            <w:vAlign w:val="top"/>
          </w:tcPr>
          <w:p>
            <w:r>
              <w:rPr>
                <w:sz w:val="14"/>
              </w:rPr>
              <w:t>olewicki_impact_2026; cihan_automated_2024; aalsteinsson_rethinking_2025</w:t>
            </w:r>
          </w:p>
        </w:tc>
        <w:tc>
          <w:tcPr>
            <w:tcW w:type="dxa" w:w="2592"/>
            <w:vAlign w:val="top"/>
          </w:tcPr>
          <w:p>
            <w:r>
              <w:rPr>
                <w:sz w:val="14"/>
              </w:rPr>
              <w:t>medium</w:t>
            </w:r>
          </w:p>
        </w:tc>
      </w:tr>
      <w:tr>
        <w:tc>
          <w:tcPr>
            <w:tcW w:type="dxa" w:w="2592"/>
            <w:vAlign w:val="top"/>
          </w:tcPr>
          <w:p>
            <w:r>
              <w:rPr>
                <w:sz w:val="14"/>
              </w:rPr>
              <w:t>N10</w:t>
            </w:r>
          </w:p>
        </w:tc>
        <w:tc>
          <w:tcPr>
            <w:tcW w:type="dxa" w:w="2592"/>
            <w:vAlign w:val="top"/>
          </w:tcPr>
          <w:p>
            <w:r>
              <w:rPr>
                <w:sz w:val="14"/>
              </w:rPr>
              <w:t>Use NB4 to check whether proactive and conversational assistance is experienced as support or interruption under different timing, relevance and control conditions.</w:t>
            </w:r>
          </w:p>
        </w:tc>
        <w:tc>
          <w:tcPr>
            <w:tcW w:type="dxa" w:w="2592"/>
            <w:vAlign w:val="top"/>
          </w:tcPr>
          <w:p>
            <w:r>
              <w:rPr>
                <w:sz w:val="14"/>
              </w:rPr>
              <w:t>pu_assistance_2025; stray_human-ai_2025; zhang_demystifying_2023</w:t>
            </w:r>
          </w:p>
        </w:tc>
        <w:tc>
          <w:tcPr>
            <w:tcW w:type="dxa" w:w="2592"/>
            <w:vAlign w:val="top"/>
          </w:tcPr>
          <w:p>
            <w:r>
              <w:rPr>
                <w:sz w:val="14"/>
              </w:rPr>
              <w:t>medium</w:t>
            </w:r>
          </w:p>
        </w:tc>
      </w:tr>
      <w:tr>
        <w:tc>
          <w:tcPr>
            <w:tcW w:type="dxa" w:w="2592"/>
            <w:vAlign w:val="top"/>
          </w:tcPr>
          <w:p>
            <w:r>
              <w:rPr>
                <w:sz w:val="14"/>
              </w:rPr>
              <w:t>N11</w:t>
            </w:r>
          </w:p>
        </w:tc>
        <w:tc>
          <w:tcPr>
            <w:tcW w:type="dxa" w:w="2592"/>
            <w:vAlign w:val="top"/>
          </w:tcPr>
          <w:p>
            <w:r>
              <w:rPr>
                <w:sz w:val="14"/>
              </w:rPr>
              <w:t>Maintain contamination and memorisation cautions when using benchmark repair or agent results to support developer-facing reliability claims.</w:t>
            </w:r>
          </w:p>
        </w:tc>
        <w:tc>
          <w:tcPr>
            <w:tcW w:type="dxa" w:w="2592"/>
            <w:vAlign w:val="top"/>
          </w:tcPr>
          <w:p>
            <w:r>
              <w:rPr>
                <w:sz w:val="14"/>
              </w:rPr>
              <w:t>kong_demystifying_2025; agarwal_copilot_2024; ge_survey_2025</w:t>
            </w:r>
          </w:p>
        </w:tc>
        <w:tc>
          <w:tcPr>
            <w:tcW w:type="dxa" w:w="2592"/>
            <w:vAlign w:val="top"/>
          </w:tcPr>
          <w:p>
            <w:r>
              <w:rPr>
                <w:sz w:val="14"/>
              </w:rPr>
              <w:t>high</w:t>
            </w:r>
          </w:p>
        </w:tc>
      </w:tr>
      <w:tr>
        <w:tc>
          <w:tcPr>
            <w:tcW w:type="dxa" w:w="2592"/>
            <w:vAlign w:val="top"/>
          </w:tcPr>
          <w:p>
            <w:r>
              <w:rPr>
                <w:sz w:val="14"/>
              </w:rPr>
              <w:t>N12</w:t>
            </w:r>
          </w:p>
        </w:tc>
        <w:tc>
          <w:tcPr>
            <w:tcW w:type="dxa" w:w="2592"/>
            <w:vAlign w:val="top"/>
          </w:tcPr>
          <w:p>
            <w:r>
              <w:rPr>
                <w:sz w:val="14"/>
              </w:rPr>
              <w:t>For Phase 3 propositions, write claims at the level of interaction systems rather than isolated tools: prompt, user skill, workflow, validation and organisational setting jointly determine value.</w:t>
            </w:r>
          </w:p>
        </w:tc>
        <w:tc>
          <w:tcPr>
            <w:tcW w:type="dxa" w:w="2592"/>
            <w:vAlign w:val="top"/>
          </w:tcPr>
          <w:p>
            <w:r>
              <w:rPr>
                <w:sz w:val="14"/>
              </w:rPr>
              <w:t>otten_prompting_2026; santos_model-assisted_2025; davila_industry_2024; yu_evaluating_2026</w:t>
            </w:r>
          </w:p>
        </w:tc>
        <w:tc>
          <w:tcPr>
            <w:tcW w:type="dxa" w:w="2592"/>
            <w:vAlign w:val="top"/>
          </w:tcPr>
          <w:p>
            <w:r>
              <w:rPr>
                <w:sz w:val="14"/>
              </w:rPr>
              <w:t>low</w:t>
            </w:r>
          </w:p>
        </w:tc>
      </w:tr>
    </w:tbl>
    <w:p>
      <w:pPr>
        <w:pStyle w:val="Heading1"/>
      </w:pPr>
      <w:r>
        <w:t>4. Cross-sub-topic papers list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4"/>
              </w:rPr>
              <w:t>Bibkey</w:t>
            </w:r>
          </w:p>
        </w:tc>
        <w:tc>
          <w:tcPr>
            <w:tcW w:type="dxa" w:w="3456"/>
            <w:vAlign w:val="top"/>
          </w:tcPr>
          <w:p>
            <w:r>
              <w:rPr>
                <w:sz w:val="14"/>
              </w:rPr>
              <w:t>Sub-topics</w:t>
            </w:r>
          </w:p>
        </w:tc>
        <w:tc>
          <w:tcPr>
            <w:tcW w:type="dxa" w:w="3456"/>
            <w:vAlign w:val="top"/>
          </w:tcPr>
          <w:p>
            <w:r>
              <w:rPr>
                <w:sz w:val="14"/>
              </w:rPr>
              <w:t>How findings differ; double-counting safeguard</w:t>
            </w:r>
          </w:p>
        </w:tc>
      </w:tr>
      <w:tr>
        <w:tc>
          <w:tcPr>
            <w:tcW w:type="dxa" w:w="3456"/>
            <w:vAlign w:val="top"/>
          </w:tcPr>
          <w:p>
            <w:r>
              <w:rPr>
                <w:sz w:val="14"/>
              </w:rPr>
              <w:t>barke_grounded_2023</w:t>
            </w:r>
          </w:p>
        </w:tc>
        <w:tc>
          <w:tcPr>
            <w:tcW w:type="dxa" w:w="3456"/>
            <w:vAlign w:val="top"/>
          </w:tcPr>
          <w:p>
            <w:r>
              <w:rPr>
                <w:sz w:val="14"/>
              </w:rPr>
              <w:t>1.1 and 1.2</w:t>
            </w:r>
          </w:p>
        </w:tc>
        <w:tc>
          <w:tcPr>
            <w:tcW w:type="dxa" w:w="3456"/>
            <w:vAlign w:val="top"/>
          </w:tcPr>
          <w:p>
            <w:r>
              <w:rPr>
                <w:sz w:val="14"/>
              </w:rPr>
              <w:t>Prompting evidence supports acceleration/exploration modes; workflow evidence uses the same modes to frame task allocation and flow.</w:t>
            </w:r>
          </w:p>
        </w:tc>
      </w:tr>
      <w:tr>
        <w:tc>
          <w:tcPr>
            <w:tcW w:type="dxa" w:w="3456"/>
            <w:vAlign w:val="top"/>
          </w:tcPr>
          <w:p>
            <w:r>
              <w:rPr>
                <w:sz w:val="14"/>
              </w:rPr>
              <w:t>khojah_beyond_2024</w:t>
            </w:r>
          </w:p>
        </w:tc>
        <w:tc>
          <w:tcPr>
            <w:tcW w:type="dxa" w:w="3456"/>
            <w:vAlign w:val="top"/>
          </w:tcPr>
          <w:p>
            <w:r>
              <w:rPr>
                <w:sz w:val="14"/>
              </w:rPr>
              <w:t>1.1 and 1.2</w:t>
            </w:r>
          </w:p>
        </w:tc>
        <w:tc>
          <w:tcPr>
            <w:tcW w:type="dxa" w:w="3456"/>
            <w:vAlign w:val="top"/>
          </w:tcPr>
          <w:p>
            <w:r>
              <w:rPr>
                <w:sz w:val="14"/>
              </w:rPr>
              <w:t>Prompting evidence shows conversational use across SE activities; workflow evidence treats those activities as broader task orchestration.</w:t>
            </w:r>
          </w:p>
        </w:tc>
      </w:tr>
      <w:tr>
        <w:tc>
          <w:tcPr>
            <w:tcW w:type="dxa" w:w="3456"/>
            <w:vAlign w:val="top"/>
          </w:tcPr>
          <w:p>
            <w:r>
              <w:rPr>
                <w:sz w:val="14"/>
              </w:rPr>
              <w:t>hao_empirical_2024</w:t>
            </w:r>
          </w:p>
        </w:tc>
        <w:tc>
          <w:tcPr>
            <w:tcW w:type="dxa" w:w="3456"/>
            <w:vAlign w:val="top"/>
          </w:tcPr>
          <w:p>
            <w:r>
              <w:rPr>
                <w:sz w:val="14"/>
              </w:rPr>
              <w:t>1.1 and 1.2</w:t>
            </w:r>
          </w:p>
        </w:tc>
        <w:tc>
          <w:tcPr>
            <w:tcW w:type="dxa" w:w="3456"/>
            <w:vAlign w:val="top"/>
          </w:tcPr>
          <w:p>
            <w:r>
              <w:rPr>
                <w:sz w:val="14"/>
              </w:rPr>
              <w:t>Prompting evidence focuses on multi-turn conversation structure; workflow evidence focuses on PR/issue externalisation.</w:t>
            </w:r>
          </w:p>
        </w:tc>
      </w:tr>
      <w:tr>
        <w:tc>
          <w:tcPr>
            <w:tcW w:type="dxa" w:w="3456"/>
            <w:vAlign w:val="top"/>
          </w:tcPr>
          <w:p>
            <w:r>
              <w:rPr>
                <w:sz w:val="14"/>
              </w:rPr>
              <w:t>stray_generative_2025</w:t>
            </w:r>
          </w:p>
        </w:tc>
        <w:tc>
          <w:tcPr>
            <w:tcW w:type="dxa" w:w="3456"/>
            <w:vAlign w:val="top"/>
          </w:tcPr>
          <w:p>
            <w:r>
              <w:rPr>
                <w:sz w:val="14"/>
              </w:rPr>
              <w:t>1.2 and 1.3</w:t>
            </w:r>
          </w:p>
        </w:tc>
        <w:tc>
          <w:tcPr>
            <w:tcW w:type="dxa" w:w="3456"/>
            <w:vAlign w:val="top"/>
          </w:tcPr>
          <w:p>
            <w:r>
              <w:rPr>
                <w:sz w:val="14"/>
              </w:rPr>
              <w:t>Workflow evidence distinguishes Copilot and ChatGPT use in solo/pair work; trust evidence captures inaccurate answers, interruptions and security concerns.</w:t>
            </w:r>
          </w:p>
        </w:tc>
      </w:tr>
      <w:tr>
        <w:tc>
          <w:tcPr>
            <w:tcW w:type="dxa" w:w="3456"/>
            <w:vAlign w:val="top"/>
          </w:tcPr>
          <w:p>
            <w:r>
              <w:rPr>
                <w:sz w:val="14"/>
              </w:rPr>
              <w:t>olewicki_impact_2026</w:t>
            </w:r>
          </w:p>
        </w:tc>
        <w:tc>
          <w:tcPr>
            <w:tcW w:type="dxa" w:w="3456"/>
            <w:vAlign w:val="top"/>
          </w:tcPr>
          <w:p>
            <w:r>
              <w:rPr>
                <w:sz w:val="14"/>
              </w:rPr>
              <w:t>1.2 and 1.3</w:t>
            </w:r>
          </w:p>
        </w:tc>
        <w:tc>
          <w:tcPr>
            <w:tcW w:type="dxa" w:w="3456"/>
            <w:vAlign w:val="top"/>
          </w:tcPr>
          <w:p>
            <w:r>
              <w:rPr>
                <w:sz w:val="14"/>
              </w:rPr>
              <w:t>Workflow evidence concerns review integration; trust evidence concerns low direct acceptance and human gatekeeping.</w:t>
            </w:r>
          </w:p>
        </w:tc>
      </w:tr>
      <w:tr>
        <w:tc>
          <w:tcPr>
            <w:tcW w:type="dxa" w:w="3456"/>
            <w:vAlign w:val="top"/>
          </w:tcPr>
          <w:p>
            <w:r>
              <w:rPr>
                <w:sz w:val="14"/>
              </w:rPr>
              <w:t>grewal_analyzing_2024</w:t>
            </w:r>
          </w:p>
        </w:tc>
        <w:tc>
          <w:tcPr>
            <w:tcW w:type="dxa" w:w="3456"/>
            <w:vAlign w:val="top"/>
          </w:tcPr>
          <w:p>
            <w:r>
              <w:rPr>
                <w:sz w:val="14"/>
              </w:rPr>
              <w:t>1.2 and 1.3</w:t>
            </w:r>
          </w:p>
        </w:tc>
        <w:tc>
          <w:tcPr>
            <w:tcW w:type="dxa" w:w="3456"/>
            <w:vAlign w:val="top"/>
          </w:tcPr>
          <w:p>
            <w:r>
              <w:rPr>
                <w:sz w:val="14"/>
              </w:rPr>
              <w:t>Workflow evidence treats generated code as repository artefact; trust evidence treats repository review as reliance control.</w:t>
            </w:r>
          </w:p>
        </w:tc>
      </w:tr>
      <w:tr>
        <w:tc>
          <w:tcPr>
            <w:tcW w:type="dxa" w:w="3456"/>
            <w:vAlign w:val="top"/>
          </w:tcPr>
          <w:p>
            <w:r>
              <w:rPr>
                <w:sz w:val="14"/>
              </w:rPr>
              <w:t>nguyen_empirical_2022</w:t>
            </w:r>
          </w:p>
        </w:tc>
        <w:tc>
          <w:tcPr>
            <w:tcW w:type="dxa" w:w="3456"/>
            <w:vAlign w:val="top"/>
          </w:tcPr>
          <w:p>
            <w:r>
              <w:rPr>
                <w:sz w:val="14"/>
              </w:rPr>
              <w:t>1.3 and 1.6</w:t>
            </w:r>
          </w:p>
        </w:tc>
        <w:tc>
          <w:tcPr>
            <w:tcW w:type="dxa" w:w="3456"/>
            <w:vAlign w:val="top"/>
          </w:tcPr>
          <w:p>
            <w:r>
              <w:rPr>
                <w:sz w:val="14"/>
              </w:rPr>
              <w:t>Trust evidence concerns hidden integration failures; robustness evidence concerns language/task-conditioned output consistency.</w:t>
            </w:r>
          </w:p>
        </w:tc>
      </w:tr>
      <w:tr>
        <w:tc>
          <w:tcPr>
            <w:tcW w:type="dxa" w:w="3456"/>
            <w:vAlign w:val="top"/>
          </w:tcPr>
          <w:p>
            <w:r>
              <w:rPr>
                <w:sz w:val="14"/>
              </w:rPr>
              <w:t>stray_human-ai_2025</w:t>
            </w:r>
          </w:p>
        </w:tc>
        <w:tc>
          <w:tcPr>
            <w:tcW w:type="dxa" w:w="3456"/>
            <w:vAlign w:val="top"/>
          </w:tcPr>
          <w:p>
            <w:r>
              <w:rPr>
                <w:sz w:val="14"/>
              </w:rPr>
              <w:t>1.2 and 1.4</w:t>
            </w:r>
          </w:p>
        </w:tc>
        <w:tc>
          <w:tcPr>
            <w:tcW w:type="dxa" w:w="3456"/>
            <w:vAlign w:val="top"/>
          </w:tcPr>
          <w:p>
            <w:r>
              <w:rPr>
                <w:sz w:val="14"/>
              </w:rPr>
              <w:t>Workflow evidence concerns delegation and oversight; experience evidence concerns acceleration, interruptions and satisfaction.</w:t>
            </w:r>
          </w:p>
        </w:tc>
      </w:tr>
      <w:tr>
        <w:tc>
          <w:tcPr>
            <w:tcW w:type="dxa" w:w="3456"/>
            <w:vAlign w:val="top"/>
          </w:tcPr>
          <w:p>
            <w:r>
              <w:rPr>
                <w:sz w:val="14"/>
              </w:rPr>
              <w:t>chatterjee_impact_2024</w:t>
            </w:r>
          </w:p>
        </w:tc>
        <w:tc>
          <w:tcPr>
            <w:tcW w:type="dxa" w:w="3456"/>
            <w:vAlign w:val="top"/>
          </w:tcPr>
          <w:p>
            <w:r>
              <w:rPr>
                <w:sz w:val="14"/>
              </w:rPr>
              <w:t>1.2 and 1.4</w:t>
            </w:r>
          </w:p>
        </w:tc>
        <w:tc>
          <w:tcPr>
            <w:tcW w:type="dxa" w:w="3456"/>
            <w:vAlign w:val="top"/>
          </w:tcPr>
          <w:p>
            <w:r>
              <w:rPr>
                <w:sz w:val="14"/>
              </w:rPr>
              <w:t>Workflow evidence concerns corporate embedding; experience evidence concerns perceived value under governance and confidence constraints.</w:t>
            </w:r>
          </w:p>
        </w:tc>
      </w:tr>
      <w:tr>
        <w:tc>
          <w:tcPr>
            <w:tcW w:type="dxa" w:w="3456"/>
            <w:vAlign w:val="top"/>
          </w:tcPr>
          <w:p>
            <w:r>
              <w:rPr>
                <w:sz w:val="14"/>
              </w:rPr>
              <w:t>otten_prompting_2026</w:t>
            </w:r>
          </w:p>
        </w:tc>
        <w:tc>
          <w:tcPr>
            <w:tcW w:type="dxa" w:w="3456"/>
            <w:vAlign w:val="top"/>
          </w:tcPr>
          <w:p>
            <w:r>
              <w:rPr>
                <w:sz w:val="14"/>
              </w:rPr>
              <w:t>1.1 and 1.4</w:t>
            </w:r>
          </w:p>
        </w:tc>
        <w:tc>
          <w:tcPr>
            <w:tcW w:type="dxa" w:w="3456"/>
            <w:vAlign w:val="top"/>
          </w:tcPr>
          <w:p>
            <w:r>
              <w:rPr>
                <w:sz w:val="14"/>
              </w:rPr>
              <w:t>Prompting evidence concerns practitioner prompt patterns; experience evidence concerns usability dependence on prompt literacy.</w:t>
            </w:r>
          </w:p>
        </w:tc>
      </w:tr>
      <w:tr>
        <w:tc>
          <w:tcPr>
            <w:tcW w:type="dxa" w:w="3456"/>
            <w:vAlign w:val="top"/>
          </w:tcPr>
          <w:p>
            <w:r>
              <w:rPr>
                <w:sz w:val="14"/>
              </w:rPr>
              <w:t>mozannar_reading_2024</w:t>
            </w:r>
          </w:p>
        </w:tc>
        <w:tc>
          <w:tcPr>
            <w:tcW w:type="dxa" w:w="3456"/>
            <w:vAlign w:val="top"/>
          </w:tcPr>
          <w:p>
            <w:r>
              <w:rPr>
                <w:sz w:val="14"/>
              </w:rPr>
              <w:t>1.2, 1.3 and 1.4</w:t>
            </w:r>
          </w:p>
        </w:tc>
        <w:tc>
          <w:tcPr>
            <w:tcW w:type="dxa" w:w="3456"/>
            <w:vAlign w:val="top"/>
          </w:tcPr>
          <w:p>
            <w:r>
              <w:rPr>
                <w:sz w:val="14"/>
              </w:rPr>
              <w:t>Workflow evidence concerns cost structure; trust evidence concerns verification behaviour; experience evidence concerns hidden reading burden.</w:t>
            </w:r>
          </w:p>
        </w:tc>
      </w:tr>
      <w:tr>
        <w:tc>
          <w:tcPr>
            <w:tcW w:type="dxa" w:w="3456"/>
            <w:vAlign w:val="top"/>
          </w:tcPr>
          <w:p>
            <w:r>
              <w:rPr>
                <w:sz w:val="14"/>
              </w:rPr>
              <w:t>larbi_when_2025</w:t>
            </w:r>
          </w:p>
        </w:tc>
        <w:tc>
          <w:tcPr>
            <w:tcW w:type="dxa" w:w="3456"/>
            <w:vAlign w:val="top"/>
          </w:tcPr>
          <w:p>
            <w:r>
              <w:rPr>
                <w:sz w:val="14"/>
              </w:rPr>
              <w:t>1.1 and 1.6</w:t>
            </w:r>
          </w:p>
        </w:tc>
        <w:tc>
          <w:tcPr>
            <w:tcW w:type="dxa" w:w="3456"/>
            <w:vAlign w:val="top"/>
          </w:tcPr>
          <w:p>
            <w:r>
              <w:rPr>
                <w:sz w:val="14"/>
              </w:rPr>
              <w:t>Prompting evidence concerns failure modes in dialogue; robustness evidence evaluates ambiguity, contradiction and incompleteness.</w:t>
            </w:r>
          </w:p>
        </w:tc>
      </w:tr>
      <w:tr>
        <w:tc>
          <w:tcPr>
            <w:tcW w:type="dxa" w:w="3456"/>
            <w:vAlign w:val="top"/>
          </w:tcPr>
          <w:p>
            <w:r>
              <w:rPr>
                <w:sz w:val="14"/>
              </w:rPr>
              <w:t>chen_nlperturbator_2026</w:t>
            </w:r>
          </w:p>
        </w:tc>
        <w:tc>
          <w:tcPr>
            <w:tcW w:type="dxa" w:w="3456"/>
            <w:vAlign w:val="top"/>
          </w:tcPr>
          <w:p>
            <w:r>
              <w:rPr>
                <w:sz w:val="14"/>
              </w:rPr>
              <w:t>1.1 and 1.6</w:t>
            </w:r>
          </w:p>
        </w:tc>
        <w:tc>
          <w:tcPr>
            <w:tcW w:type="dxa" w:w="3456"/>
            <w:vAlign w:val="top"/>
          </w:tcPr>
          <w:p>
            <w:r>
              <w:rPr>
                <w:sz w:val="14"/>
              </w:rPr>
              <w:t>Prompting evidence concerns wording sensitivity; robustness evidence evaluates semantically preserving perturbations.</w:t>
            </w:r>
          </w:p>
        </w:tc>
      </w:tr>
      <w:tr>
        <w:tc>
          <w:tcPr>
            <w:tcW w:type="dxa" w:w="3456"/>
            <w:vAlign w:val="top"/>
          </w:tcPr>
          <w:p>
            <w:r>
              <w:rPr>
                <w:sz w:val="14"/>
              </w:rPr>
              <w:t>li_refining_2025</w:t>
            </w:r>
          </w:p>
        </w:tc>
        <w:tc>
          <w:tcPr>
            <w:tcW w:type="dxa" w:w="3456"/>
            <w:vAlign w:val="top"/>
          </w:tcPr>
          <w:p>
            <w:r>
              <w:rPr>
                <w:sz w:val="14"/>
              </w:rPr>
              <w:t>1.1 and 1.6</w:t>
            </w:r>
          </w:p>
        </w:tc>
        <w:tc>
          <w:tcPr>
            <w:tcW w:type="dxa" w:w="3456"/>
            <w:vAlign w:val="top"/>
          </w:tcPr>
          <w:p>
            <w:r>
              <w:rPr>
                <w:sz w:val="14"/>
              </w:rPr>
              <w:t>Prompting evidence concerns premise checking; robustness evidence evaluates misleading assumptions.</w:t>
            </w:r>
          </w:p>
        </w:tc>
      </w:tr>
      <w:tr>
        <w:tc>
          <w:tcPr>
            <w:tcW w:type="dxa" w:w="3456"/>
            <w:vAlign w:val="top"/>
          </w:tcPr>
          <w:p>
            <w:r>
              <w:rPr>
                <w:sz w:val="14"/>
              </w:rPr>
              <w:t>olausson_is_2024</w:t>
            </w:r>
          </w:p>
        </w:tc>
        <w:tc>
          <w:tcPr>
            <w:tcW w:type="dxa" w:w="3456"/>
            <w:vAlign w:val="top"/>
          </w:tcPr>
          <w:p>
            <w:r>
              <w:rPr>
                <w:sz w:val="14"/>
              </w:rPr>
              <w:t>1.3 and 1.6</w:t>
            </w:r>
          </w:p>
        </w:tc>
        <w:tc>
          <w:tcPr>
            <w:tcW w:type="dxa" w:w="3456"/>
            <w:vAlign w:val="top"/>
          </w:tcPr>
          <w:p>
            <w:r>
              <w:rPr>
                <w:sz w:val="14"/>
              </w:rPr>
              <w:t>Trust evidence warns against unaudited reliance on self-repair; robustness evidence compares repair with sampling under cost constraints.</w:t>
            </w:r>
          </w:p>
        </w:tc>
      </w:tr>
      <w:tr>
        <w:tc>
          <w:tcPr>
            <w:tcW w:type="dxa" w:w="3456"/>
            <w:vAlign w:val="top"/>
          </w:tcPr>
          <w:p>
            <w:r>
              <w:rPr>
                <w:sz w:val="14"/>
              </w:rPr>
              <w:t>xia_agentless_2024</w:t>
            </w:r>
          </w:p>
        </w:tc>
        <w:tc>
          <w:tcPr>
            <w:tcW w:type="dxa" w:w="3456"/>
            <w:vAlign w:val="top"/>
          </w:tcPr>
          <w:p>
            <w:r>
              <w:rPr>
                <w:sz w:val="14"/>
              </w:rPr>
              <w:t>1.2 and 1.6</w:t>
            </w:r>
          </w:p>
        </w:tc>
        <w:tc>
          <w:tcPr>
            <w:tcW w:type="dxa" w:w="3456"/>
            <w:vAlign w:val="top"/>
          </w:tcPr>
          <w:p>
            <w:r>
              <w:rPr>
                <w:sz w:val="14"/>
              </w:rPr>
              <w:t>Workflow evidence concerns orchestration of repair stages; robustness evidence concerns reliability of structured localisation and validation.</w:t>
            </w:r>
          </w:p>
        </w:tc>
      </w:tr>
      <w:tr>
        <w:tc>
          <w:tcPr>
            <w:tcW w:type="dxa" w:w="3456"/>
            <w:vAlign w:val="top"/>
          </w:tcPr>
          <w:p>
            <w:r>
              <w:rPr>
                <w:sz w:val="14"/>
              </w:rPr>
              <w:t>zhang_autocoderover_2024</w:t>
            </w:r>
          </w:p>
        </w:tc>
        <w:tc>
          <w:tcPr>
            <w:tcW w:type="dxa" w:w="3456"/>
            <w:vAlign w:val="top"/>
          </w:tcPr>
          <w:p>
            <w:r>
              <w:rPr>
                <w:sz w:val="14"/>
              </w:rPr>
              <w:t>1.2 and 1.6</w:t>
            </w:r>
          </w:p>
        </w:tc>
        <w:tc>
          <w:tcPr>
            <w:tcW w:type="dxa" w:w="3456"/>
            <w:vAlign w:val="top"/>
          </w:tcPr>
          <w:p>
            <w:r>
              <w:rPr>
                <w:sz w:val="14"/>
              </w:rPr>
              <w:t>Workflow evidence concerns autonomous program improvement; robustness evidence concerns retrieval, context and validation dependencies.</w:t>
            </w:r>
          </w:p>
        </w:tc>
      </w:tr>
      <w:tr>
        <w:tc>
          <w:tcPr>
            <w:tcW w:type="dxa" w:w="3456"/>
            <w:vAlign w:val="top"/>
          </w:tcPr>
          <w:p>
            <w:r>
              <w:rPr>
                <w:sz w:val="14"/>
              </w:rPr>
              <w:t>yin_comprehensive_2025</w:t>
            </w:r>
          </w:p>
        </w:tc>
        <w:tc>
          <w:tcPr>
            <w:tcW w:type="dxa" w:w="3456"/>
            <w:vAlign w:val="top"/>
          </w:tcPr>
          <w:p>
            <w:r>
              <w:rPr>
                <w:sz w:val="14"/>
              </w:rPr>
              <w:t>1.2 and 1.6</w:t>
            </w:r>
          </w:p>
        </w:tc>
        <w:tc>
          <w:tcPr>
            <w:tcW w:type="dxa" w:w="3456"/>
            <w:vAlign w:val="top"/>
          </w:tcPr>
          <w:p>
            <w:r>
              <w:rPr>
                <w:sz w:val="14"/>
              </w:rPr>
              <w:t>Workflow evidence concerns agentic task coverage; robustness evidence concerns uneven framework performance.</w:t>
            </w:r>
          </w:p>
        </w:tc>
      </w:tr>
      <w:tr>
        <w:tc>
          <w:tcPr>
            <w:tcW w:type="dxa" w:w="3456"/>
            <w:vAlign w:val="top"/>
          </w:tcPr>
          <w:p>
            <w:r>
              <w:rPr>
                <w:sz w:val="14"/>
              </w:rPr>
              <w:t>liu_e2edev_2026</w:t>
            </w:r>
          </w:p>
        </w:tc>
        <w:tc>
          <w:tcPr>
            <w:tcW w:type="dxa" w:w="3456"/>
            <w:vAlign w:val="top"/>
          </w:tcPr>
          <w:p>
            <w:r>
              <w:rPr>
                <w:sz w:val="14"/>
              </w:rPr>
              <w:t>1.2 and 1.6</w:t>
            </w:r>
          </w:p>
        </w:tc>
        <w:tc>
          <w:tcPr>
            <w:tcW w:type="dxa" w:w="3456"/>
            <w:vAlign w:val="top"/>
          </w:tcPr>
          <w:p>
            <w:r>
              <w:rPr>
                <w:sz w:val="14"/>
              </w:rPr>
              <w:t>Workflow evidence concerns full-pipeline development; robustness evidence concerns multi-step reliability and cost.</w:t>
            </w:r>
          </w:p>
        </w:tc>
      </w:tr>
      <w:tr>
        <w:tc>
          <w:tcPr>
            <w:tcW w:type="dxa" w:w="3456"/>
            <w:vAlign w:val="top"/>
          </w:tcPr>
          <w:p>
            <w:r>
              <w:rPr>
                <w:sz w:val="14"/>
              </w:rPr>
              <w:t>denny_conversing_2023</w:t>
            </w:r>
          </w:p>
        </w:tc>
        <w:tc>
          <w:tcPr>
            <w:tcW w:type="dxa" w:w="3456"/>
            <w:vAlign w:val="top"/>
          </w:tcPr>
          <w:p>
            <w:r>
              <w:rPr>
                <w:sz w:val="14"/>
              </w:rPr>
              <w:t>1.1 and 1.5</w:t>
            </w:r>
          </w:p>
        </w:tc>
        <w:tc>
          <w:tcPr>
            <w:tcW w:type="dxa" w:w="3456"/>
            <w:vAlign w:val="top"/>
          </w:tcPr>
          <w:p>
            <w:r>
              <w:rPr>
                <w:sz w:val="14"/>
              </w:rPr>
              <w:t>Prompting evidence concerns CS1 prompt engineering; learning evidence concerns decomposition and novice performance.</w:t>
            </w:r>
          </w:p>
        </w:tc>
      </w:tr>
      <w:tr>
        <w:tc>
          <w:tcPr>
            <w:tcW w:type="dxa" w:w="3456"/>
            <w:vAlign w:val="top"/>
          </w:tcPr>
          <w:p>
            <w:r>
              <w:rPr>
                <w:sz w:val="14"/>
              </w:rPr>
              <w:t>shah_students_2025</w:t>
            </w:r>
          </w:p>
        </w:tc>
        <w:tc>
          <w:tcPr>
            <w:tcW w:type="dxa" w:w="3456"/>
            <w:vAlign w:val="top"/>
          </w:tcPr>
          <w:p>
            <w:r>
              <w:rPr>
                <w:sz w:val="14"/>
              </w:rPr>
              <w:t>1.3 and 1.5</w:t>
            </w:r>
          </w:p>
        </w:tc>
        <w:tc>
          <w:tcPr>
            <w:tcW w:type="dxa" w:w="3456"/>
            <w:vAlign w:val="top"/>
          </w:tcPr>
          <w:p>
            <w:r>
              <w:rPr>
                <w:sz w:val="14"/>
              </w:rPr>
              <w:t>Trust evidence concerns review/testing in large code bases; learning evidence concerns comprehension of unfamiliar project context.</w:t>
            </w:r>
          </w:p>
        </w:tc>
      </w:tr>
      <w:tr>
        <w:tc>
          <w:tcPr>
            <w:tcW w:type="dxa" w:w="3456"/>
            <w:vAlign w:val="top"/>
          </w:tcPr>
          <w:p>
            <w:r>
              <w:rPr>
                <w:sz w:val="14"/>
              </w:rPr>
              <w:t>lyu_will_2025</w:t>
            </w:r>
          </w:p>
        </w:tc>
        <w:tc>
          <w:tcPr>
            <w:tcW w:type="dxa" w:w="3456"/>
            <w:vAlign w:val="top"/>
          </w:tcPr>
          <w:p>
            <w:r>
              <w:rPr>
                <w:sz w:val="14"/>
              </w:rPr>
              <w:t>1.2 and 1.5</w:t>
            </w:r>
          </w:p>
        </w:tc>
        <w:tc>
          <w:tcPr>
            <w:tcW w:type="dxa" w:w="3456"/>
            <w:vAlign w:val="top"/>
          </w:tcPr>
          <w:p>
            <w:r>
              <w:rPr>
                <w:sz w:val="14"/>
              </w:rPr>
              <w:t>Workflow evidence concerns AI as pair-programming partner; learning evidence concerns semester-long collaboration and reflection.</w:t>
            </w:r>
          </w:p>
        </w:tc>
      </w:tr>
      <w:tr>
        <w:tc>
          <w:tcPr>
            <w:tcW w:type="dxa" w:w="3456"/>
            <w:vAlign w:val="top"/>
          </w:tcPr>
          <w:p>
            <w:r>
              <w:rPr>
                <w:sz w:val="14"/>
              </w:rPr>
              <w:t>mailach_ok_2025</w:t>
            </w:r>
          </w:p>
        </w:tc>
        <w:tc>
          <w:tcPr>
            <w:tcW w:type="dxa" w:w="3456"/>
            <w:vAlign w:val="top"/>
          </w:tcPr>
          <w:p>
            <w:r>
              <w:rPr>
                <w:sz w:val="14"/>
              </w:rPr>
              <w:t>1.1 and 1.5</w:t>
            </w:r>
          </w:p>
        </w:tc>
        <w:tc>
          <w:tcPr>
            <w:tcW w:type="dxa" w:w="3456"/>
            <w:vAlign w:val="top"/>
          </w:tcPr>
          <w:p>
            <w:r>
              <w:rPr>
                <w:sz w:val="14"/>
              </w:rPr>
              <w:t>Prompting evidence concerns beginner dialogue patterns; learning evidence concerns metacognitive negotiation and validation.</w:t>
            </w:r>
          </w:p>
        </w:tc>
      </w:tr>
      <w:tr>
        <w:tc>
          <w:tcPr>
            <w:tcW w:type="dxa" w:w="3456"/>
            <w:vAlign w:val="top"/>
          </w:tcPr>
          <w:p>
            <w:r>
              <w:rPr>
                <w:sz w:val="14"/>
              </w:rPr>
              <w:t>ge_survey_2025</w:t>
            </w:r>
          </w:p>
        </w:tc>
        <w:tc>
          <w:tcPr>
            <w:tcW w:type="dxa" w:w="3456"/>
            <w:vAlign w:val="top"/>
          </w:tcPr>
          <w:p>
            <w:r>
              <w:rPr>
                <w:sz w:val="14"/>
              </w:rPr>
              <w:t>1.4 and 1.6</w:t>
            </w:r>
          </w:p>
        </w:tc>
        <w:tc>
          <w:tcPr>
            <w:tcW w:type="dxa" w:w="3456"/>
            <w:vAlign w:val="top"/>
          </w:tcPr>
          <w:p>
            <w:r>
              <w:rPr>
                <w:sz w:val="14"/>
              </w:rPr>
              <w:t>Experience evidence concerns vibe-coding productivity/control; robustness evidence concerns context engineering, memory, feedback and oversight.</w:t>
            </w:r>
          </w:p>
        </w:tc>
      </w:tr>
      <w:tr>
        <w:tc>
          <w:tcPr>
            <w:tcW w:type="dxa" w:w="3456"/>
            <w:vAlign w:val="top"/>
          </w:tcPr>
          <w:p>
            <w:r>
              <w:rPr>
                <w:sz w:val="14"/>
              </w:rPr>
              <w:t>davila_industry_2024</w:t>
            </w:r>
          </w:p>
        </w:tc>
        <w:tc>
          <w:tcPr>
            <w:tcW w:type="dxa" w:w="3456"/>
            <w:vAlign w:val="top"/>
          </w:tcPr>
          <w:p>
            <w:r>
              <w:rPr>
                <w:sz w:val="14"/>
              </w:rPr>
              <w:t>1.2 and 1.4</w:t>
            </w:r>
          </w:p>
        </w:tc>
        <w:tc>
          <w:tcPr>
            <w:tcW w:type="dxa" w:w="3456"/>
            <w:vAlign w:val="top"/>
          </w:tcPr>
          <w:p>
            <w:r>
              <w:rPr>
                <w:sz w:val="14"/>
              </w:rPr>
              <w:t>Workflow evidence concerns organisational adaptation; experience evidence concerns task fit, confidentiality and adoption context.</w:t>
            </w:r>
          </w:p>
        </w:tc>
      </w:tr>
    </w:tbl>
    <w:p>
      <w:pPr>
        <w:pStyle w:val="Heading1"/>
      </w:pPr>
      <w:r>
        <w:t>5. References</w:t>
      </w:r>
    </w:p>
    <w:p>
      <w:r>
        <w:t>[1] Understanding and Supporting How Developers Prompt for LLM-powered Code Editing in Practice. Nam, Daye; Omran, Ahmed; Murillo, Ambar; Thakur, Saksham; Araujo, Abner; Blistein, Marcel; Frömmgen, Alexander; Hellendoorn, Vincent; Chandra, Satish, 2025. Bibkey: nam_understanding_2025.</w:t>
      </w:r>
    </w:p>
    <w:p>
      <w:r>
        <w:t>[2] Conversing with Copilot: Exploring Prompt Engineering for Solving CS1 Problems Using Natural Language. Denny, Paul; Kumar, Viraj; Giacaman, Nasser, 2023. Bibkey: denny_conversing_2023.</w:t>
      </w:r>
    </w:p>
    <w:p>
      <w:r>
        <w:t>[3] Grounded Copilot: How Programmers Interact with Code-Generating Models. Barke, Shraddha; James, Michael B.; Polikarpova, Nadia, 2023. Bibkey: barke_grounded_2023.</w:t>
      </w:r>
    </w:p>
    <w:p>
      <w:r>
        <w:t>[4] “Ok Pal, We Have to Code That Now”: Interaction Patterns of Programming Beginners with a Conversational Chatbot. Mailach, Alina; Gorgosch, Dominik; Siegmund, Norbert; Siegmund, Janet, 2025. Bibkey: mailach_ok_2025.</w:t>
      </w:r>
    </w:p>
    <w:p>
      <w:r>
        <w:t>[5] LLM-based test-driven interactive code generation: User study and empirical evaluation. Fakhoury, Sarah; Naik, Aaditya; Sakkas, Georgios; Chakraborty, Saikat; Lahiri, Shuvendu K., 2024. Bibkey: fakhoury_llm-based_2024.</w:t>
      </w:r>
    </w:p>
    <w:p>
      <w:r>
        <w:t>[6] An Empirical Study on Developers’ Shared Conversations with ChatGPT in GitHub Pull Requests and Issues. Hao, Huizi; Hasan, Kazi Amit; Qin, Hong; Macedo, Marcos; Tian, Yuan; Ding, Steven H. H.; Hassan, Ahmed E., 2024. Bibkey: hao_empirical_2024.</w:t>
      </w:r>
    </w:p>
    <w:p>
      <w:r>
        <w:t>[7] Beyond Code Generation: An Observational Study of ChatGPT Usage in Software Engineering Practice. Khojah, Ranim; Mohamad, Mazen; Leitner, Philipp; Neto, Francisco Gomes de Oliveira, 2024. Bibkey: khojah_beyond_2024.</w:t>
      </w:r>
    </w:p>
    <w:p>
      <w:r>
        <w:t>[8] Demystifying Practices, Challenges and Expected Features of Using GitHub Copilot. Zhang, Beiqi; Liang, Peng; Zhou, Xiyu; Ahmad, Aakash; Waseem, Muhammad, 2023. Bibkey: zhang_demystifying_2023.</w:t>
      </w:r>
    </w:p>
    <w:p>
      <w:r>
        <w:t>[9] Can Developers Prompt? A Controlled Experiment for Code Documentation Generation. Kruse, Hans-Alexander; Puhlfürß, Tim; Maalej, Walid, 2024. Bibkey: kruse_can_2024.</w:t>
      </w:r>
    </w:p>
    <w:p>
      <w:r>
        <w:t>[10] Prompting in Practice: Investigating Software Practitioners' Use of Generative AI Tools. Otten, Daniel; Stalnaker, Trevor; Wintersgill, Nathan; Chaparro, Oscar; Poshyvanyk, Denys, 2026. Bibkey: otten_prompting_2026.</w:t>
      </w:r>
    </w:p>
    <w:p>
      <w:r>
        <w:t>[11] Experimental Analysis of Productive Interaction Strategy with ChatGPT: User Study on Function and Project-level Code Generation Tasks. Hyun, Sangwon; Kim, Hyunjun; Jang, Jinhyuk; Choi, Hyojin; Babar, M. Ali, 2025. Bibkey: hyun_experimental_2025.</w:t>
      </w:r>
    </w:p>
    <w:p>
      <w:r>
        <w:t>[12] When Prompts Go Wrong: Evaluating Code Model Robustness to Ambiguous, Contradictory, and Incomplete Task Descriptions. Larbi, Maya; Akli, Amal; Papadakis, Mike; Bouyousfi, Rihab; Cordy, Maxime; Sarro, Federica; Traon, Yves Le, 2025. Bibkey: larbi_when_2025.</w:t>
      </w:r>
    </w:p>
    <w:p>
      <w:r>
        <w:t>[13] NLPerturbator: Studying the Robustness of Code LLMs to Natural Language Variations. Chen, Junkai; Li, Zhenhao; Hu, Xing; Xia, Xin, 2026. Bibkey: chen_nlperturbator_2026.</w:t>
      </w:r>
    </w:p>
    <w:p>
      <w:r>
        <w:t>[14] Refining Critical Thinking in LLM Code Generation: A Faulty Premise-based Evaluation Framework. Li, Jialin; Li, Jinzhe; Li, Gengxu; Chang, Yi; Wu, Yuan, 2025. Bibkey: li_refining_2025.</w:t>
      </w:r>
    </w:p>
    <w:p>
      <w:r>
        <w:t>[15] Why Do Developers Engage with ChatGPT in Issue-Tracker? Investigating Usage and Reliance on ChatGPT-Generated Code. Das, Joy Krishan; Mondal, Saikat; Roy, Chanchal K., 2025. Bibkey: das_why_2025.</w:t>
      </w:r>
    </w:p>
    <w:p>
      <w:r>
        <w:t>[16] CodeAssistBench (CAB): Dataset &amp; Benchmarking for Multi-turn Chat-Based Code Assistance. Kim, Myeongsoo; Garg, Shweta; Ray, Baishakhi; Kumar, Varun; Deoras, Anoop, 2025. Bibkey: kim_codeassistbench_2025.</w:t>
      </w:r>
    </w:p>
    <w:p>
      <w:r>
        <w:t>[17] Reading Between the Lines: Modeling User Behavior and Costs in AI-Assisted Programming. Mozannar, Hussein; Bansal, Gagan; Fourney, Adam; Horvitz, Eric, 2024. Bibkey: mozannar_reading_2024.</w:t>
      </w:r>
    </w:p>
    <w:p>
      <w:r>
        <w:t>[18] Generative AI and Developer Workflows: How GitHub Copilot and ChatGPT Influence Solo and Pair Programming. Stray, Viktoria; Moe, Nils Brede; Ganeshan, Nivethika; Kobbenes, Simon, 2025. Bibkey: stray_generative_2025.</w:t>
      </w:r>
    </w:p>
    <w:p>
      <w:r>
        <w:t>[19] Human-AI Collaboration in Software Development: A Mixed-Methods Study of Developers’ Use of GitHub Copilot and ChatGPT. Stray, Viktoria; Barbala, Astri; Wivestad, Viggo Tellefsen, 2025. Bibkey: stray_human-ai_2025.</w:t>
      </w:r>
    </w:p>
    <w:p>
      <w:r>
        <w:t>[20] The Productivity Effects of Generative AI: Evidence from a Field Experiment with GitHub Copilot. Cui, Kevin Zheyuan; Demirer, Mert; Jaffe, Sonia; Musolff, Leon; Peng, Sida; Salz, Tobias, 2024. Bibkey: cui_productivity_2024.</w:t>
      </w:r>
    </w:p>
    <w:p>
      <w:r>
        <w:t>[21] The Impact of Generative AI on Collaborative Open-Source Software Development: Evidence from GitHub Copilot. Song, Fangchen; Agarwal, Ashish; Wen, Wen, 2024. Bibkey: song_impact_2024.</w:t>
      </w:r>
    </w:p>
    <w:p>
      <w:r>
        <w:t>[22] The Impact of AI Tool on Engineering at ANZ Bank an Empirical Study on GitHub Copilot within Corporate Environment. Chatterjee, Sayan; Liu, Ching Louis; Rowland, Gareth; Hogarth, Tim, 2024. Bibkey: chatterjee_impact_2024.</w:t>
      </w:r>
    </w:p>
    <w:p>
      <w:r>
        <w:t>[23] Analyzing Developer Use of ChatGPT Generated Code in Open Source GitHub Projects. Grewal, Balreet; Lu, Wentao; Nadi, Sarah; Bezemer, Cor-Paul, 2024. Bibkey: grewal_analyzing_2024.</w:t>
      </w:r>
    </w:p>
    <w:p>
      <w:r>
        <w:t>[24] Developers and Generative AI: A Study of Self-Admitted Usage in Open Source Projects. Tufano, Rosalia; Pepe, Federica; Zampetti, Fiorella; Mastropaolo, Antonio; Dabić, Ozren; Di Penta, Massimiliano; Bavota, Gabriele, 2026. Bibkey: tufano_developers_2026.</w:t>
      </w:r>
    </w:p>
    <w:p>
      <w:r>
        <w:t>[25] Will Your Next Pair Programming Partner Be Human? An Empirical Evaluation of Generative AI as a Collaborative Teammate in a Semester-Long Classroom Setting. Lyu, Wenhan; Wang, Yimeng; Sun, Yifan; Zhang, Yixuan, 2025. Bibkey: lyu_will_2025.</w:t>
      </w:r>
    </w:p>
    <w:p>
      <w:r>
        <w:t>[26] Assistance or Disruption? Exploring and Evaluating the Design and Trade-offs of Proactive AI Programming Support. Pu, Kevin; Lazaro, Daniel; Arawjo, Ian; Xia, Haijun; Grossman, Tovi; Chen, Yan, 2025. Bibkey: pu_assistance_2025.</w:t>
      </w:r>
    </w:p>
    <w:p>
      <w:r>
        <w:t>[27] Agentless: Demystifying LLM-based Software Engineering Agents. Xia, Chunqiu Steven; Deng, Yinlin; Dunn, Stanley; Zhang, Lingming, 2024. Bibkey: xia_agentless_2024.</w:t>
      </w:r>
    </w:p>
    <w:p>
      <w:r>
        <w:t>[28] AutoCodeRover: Autonomous Program Improvement. Zhang, Yuntong; Ruan, Haifeng; Fan, Zhiyu; Roychoudhury, Abhik, 2024. Bibkey: zhang_autocoderover_2024.</w:t>
      </w:r>
    </w:p>
    <w:p>
      <w:r>
        <w:t>[29] A Comprehensive Empirical Evaluation of Agent Frameworks on Code-centric Software Engineering Tasks. Yin, Zhuowen; Gao, Cuifeng; Fan, Chunsong; Yang, Wenzhang; Xue, Yinxing; Zhang, Lijun, 2025. Bibkey: yin_comprehensive_2025.</w:t>
      </w:r>
    </w:p>
    <w:p>
      <w:r>
        <w:t>[30] E2Edev: Benchmarking Large Language Models in End-to-End Software Development Task. Liu, Jingyao; Huang, Chen; Guan, Zhizhao; Lei, Wenqiang; Deng, Yang, 2026. Bibkey: liu_e2edev_2026.</w:t>
      </w:r>
    </w:p>
    <w:p>
      <w:r>
        <w:t>[31] An Industry Case Study on Adoption of AI-based Programming Assistants. Davila, Nicole; Wiese, Igor; Steinmacher, Igor; Lucio Da Silva, Lucas; Kawamoto, Andre; Favaro, Gilson Jose Peres; Nunes, Ingrid, 2024. Bibkey: davila_industry_2024.</w:t>
      </w:r>
    </w:p>
    <w:p>
      <w:r>
        <w:t>[32] Identifying the Factors That Influence Trust in AI Code Completion. Brown, Adam; D'Angelo, Sarah; Murillo, Ambar; Jaspan, Ciera; Green, Collin, 2024. Bibkey: brown_identifying_2024.</w:t>
      </w:r>
    </w:p>
    <w:p>
      <w:r>
        <w:t>[33] Investigating and Designing for Trust in AI-powered Code Generation Tools. Wang, Ruotong; Cheng, Ruijia; Ford, Denae; Zimmermann, Thomas, 2024. Bibkey: wang_investigating_2024.</w:t>
      </w:r>
    </w:p>
    <w:p>
      <w:r>
        <w:t>[34] Do Users Write More Insecure Code with AI Assistants?. Perry, Neil; Srivastava, Megha; Kumar, Deepak; Boneh, Dan, 2023. Bibkey: perry_users_2023.</w:t>
      </w:r>
    </w:p>
    <w:p>
      <w:r>
        <w:t>[35] Using AI Assistants in Software Development: A Qualitative Study on Security Practices and Concerns. Klemmer, Jan H.; Horstmann, Stefan Albert; Patnaik, Nikhil; Ludden, Cordelia; Burton, Cordell; Powers, Carson; Massacci, Fabio; Rahman, Akond; Votipka, Daniel; Lipford, Heather Richter; Rashid, Awais; Naiakshina, Alena; Fahl, Sascha, 2024. Bibkey: klemmer_using_2024.</w:t>
      </w:r>
    </w:p>
    <w:p>
      <w:r>
        <w:t>[36] Students' Use of GitHub Copilot for Working with Large Code Bases. Shah, Anshul; Chernova, Anya; Tomson, Elena; Porter, Leo; Griswold, William G.; Soosai Raj, Adalbert Gerald, 2025. Bibkey: shah_students_2025.</w:t>
      </w:r>
    </w:p>
    <w:p>
      <w:r>
        <w:t>[37] Is Self-Repair A Silver Bullet for Code Generation?. Olausson, Theo X; Inala, Jeevana Priya; Wang, Chenglong; Gao, Jianfeng; Solar-Lezama, Armando, 2024. Bibkey: olausson_is_2024.</w:t>
      </w:r>
    </w:p>
    <w:p>
      <w:r>
        <w:t>[38] Impact of an LLM-based Review Assistant in Practice: A Mixed Open-/Closed-source Case Study. Olewicki, Doriane; Da Silva, Leuson; Sghaier, Oussama Ben; Mujahid, Suhaib; Amini, Arezou; Mah, Benjamin; Castelluccio, Marco; Habchi, Sarra; Khomh, Foutse; Adams, Bram, 2026. Bibkey: olewicki_impact_2026.</w:t>
      </w:r>
    </w:p>
    <w:p>
      <w:r>
        <w:t>[39] Aligning Offline Metrics and Human Judgments of Value for Code Generation Models. Dibia, Victor; Fourney, Adam; Bansal, Gagan; Poursabzi-Sangdeh, Forough; Liu, Han; Amershi, Saleema, 2023. Bibkey: dibia_aligning_2023.</w:t>
      </w:r>
    </w:p>
    <w:p>
      <w:r>
        <w:t>[40] Human-AI Pair Programming: Evaluating Trust, Efficiency, and Defect Incidence. Urs, Arjun Deshraje, 2025. Bibkey: urs_human-ai_2025.</w:t>
      </w:r>
    </w:p>
    <w:p>
      <w:r>
        <w:t>[41] An Empirical Evaluation of GitHub Copilot's Code Suggestions. Nguyen, Nhan; Nadi, Sarah, 2022. Bibkey: nguyen_empirical_2022.</w:t>
      </w:r>
    </w:p>
    <w:p>
      <w:r>
        <w:t>[42] Demystifying Memorization in LLM-Based Program Repair via a General Hypothesis Testing Framework. Kong, Jiaolong; Xie, Xiaofei; Liu, Shangqing, 2025. Bibkey: kong_demystifying_2025.</w:t>
      </w:r>
    </w:p>
    <w:p>
      <w:r>
        <w:t>[43] Copilot Evaluation Harness: Evaluating LLM-Guided Software Programming. Agarwal, Anisha; Chan, Aaron; Chandel, Shubham; Jang, Jinu; Miller, Shaun; Moghaddam, Roshanak Zilouchian; Mohylevskyy, Yevhen; Sundaresan, Neel; Tufano, Michele, 2024. Bibkey: agarwal_copilot_2024.</w:t>
      </w:r>
    </w:p>
    <w:p>
      <w:r>
        <w:t>[44] Automated Code Review In Practice. Cihan, Umut; Haratian, Vahid; İçöz, Arda; Gül, Mert Kaan; Devran, Ömercan; Bayendur, Emircan Furkan; Uçar, Baykal Mehmet; Tüzün, Eray, 2024. Bibkey: cihan_automated_2024.</w:t>
      </w:r>
    </w:p>
    <w:p>
      <w:r>
        <w:t>[45] Model-Assisted and Human-Guided: Perceptions and Practices of Software Professionals Using LLMs for Coding. Santos, Italo; Magalhaes, Cleyton; Santos, Ronnie de Souza, 2025. Bibkey: santos_model-assisted_2025.</w:t>
      </w:r>
    </w:p>
    <w:p>
      <w:r>
        <w:t>[46] Continuance Use of AI Coding Assistants Among South Korean Industry Developers: A Survey Case Study with Large Language Models. Park, Eunil, 2025. Bibkey: park_continuance_2025.</w:t>
      </w:r>
    </w:p>
    <w:p>
      <w:r>
        <w:t>[47] Developers’ Dilemma: Opportunities and Pitfalls of Generative AI for Software Development. Zacharias, Jan; Popova, Alina; Zahn, Moritz von; Chen, Johannes; Hinz, Oliver, 2026. Bibkey: zacharias_developers_2026.</w:t>
      </w:r>
    </w:p>
    <w:p>
      <w:r>
        <w:t>[48] Evaluating the Quality of GenAI Applications in Software Engineering: A Multi-case Study. Yu, Liang; Alégroth, Emil; Chatzipetrou, Panagiota; Gorschek, Tony, 2026. Bibkey: yu_evaluating_2026.</w:t>
      </w:r>
    </w:p>
    <w:p>
      <w:r>
        <w:t>[49] The New Developer: AI Skill Threat, Identity Change &amp; Developer Thriving in the Transition to AI-Assisted Software Development. Hicks, Catherine M.; Lee, Carol S; Foster-Marks, Kristen, 2024. Bibkey: hicks_new_2024.</w:t>
      </w:r>
    </w:p>
    <w:p>
      <w:r>
        <w:t>[50] An Assessment of Large Language Models for OpenMP-based Code Parallelization: A User Perspective. Mišić, Marko; Dodović, Matija, 2024. Bibkey: misic_assessment_2024.</w:t>
      </w:r>
    </w:p>
    <w:p>
      <w:r>
        <w:t>[51] The Impact of Generative AI Coding Assistants on Developers Who Are Visually Impaired. Flores-Saviaga, Claudia; Hanrahan, Benjamin V.; Imteyaz, Kashif; Clarke, Steven; Savage, Saiph, 2025. Bibkey: flores-saviaga_impact_2025.</w:t>
      </w:r>
    </w:p>
    <w:p>
      <w:r>
        <w:t>[52] A Survey of Vibe Coding with Large Language Models. Ge, Yuyao; Mei, Lingrui; Duan, Zenghao; Li, Tianhao; Zheng, Yujia; Wang, Yiwei; Wang, Lexin; Yao, Jiayu; Liu, Tianyu; Cai, Yujun; Bi, Baolong; Guo, Fangda; Guo, Jiafeng; Liu, Shenghua; Cheng, Xueqi, 2025. Bibkey: ge_survey_2025.</w:t>
      </w:r>
    </w:p>
    <w:p>
      <w:r>
        <w:t>[53] “It’s Weird That it Knows What I Want”: Usability and Interactions with Copilot for Novice Programmers. Prather, James; Reeves, Brent N.; Denny, Paul; Becker, Brett A.; Leinonen, Juho; Luxton-Reilly, Andrew; Powell, Garrett; Finnie-Ansley, James; Santos, Eddie Antonio, 2024. Bibkey: prather_its_2024.</w:t>
      </w:r>
    </w:p>
    <w:p>
      <w:r>
        <w:t>[54] Can Generative Pre-trained Transformers (GPT) Pass Assessments in Higher Education Programming Courses?. Savelka, Jaromir; Agarwal, Arav; Bogart, Christopher; Song, Yifan; Sakr, Majd, 2023. Bibkey: savelka_can_2023.</w:t>
      </w:r>
    </w:p>
    <w:p>
      <w:r>
        <w:t>[55] Performance, Workload, Emotion, and Self-Efficacy of Novice Programmers Using AI Code Generation. Gardella, Nicholas; Pettit, Raymond; Riggs, Sara L., 2024. Bibkey: gardella_performance_2024.</w:t>
      </w:r>
    </w:p>
    <w:p>
      <w:r>
        <w:t>[56] Case Study: Using AI-Assisted Code Generation In Mobile Teams. Vasiliniuc, Mircea-Serban; Groza, Adrian, 2023. Bibkey: vasiliniuc_case_2023.</w:t>
      </w:r>
    </w:p>
    <w:p>
      <w:r>
        <w:t>[57] The Effects of GitHub Copilot on Computing Students' Programming Effectiveness, Efficiency, and Processes in Brownfield Coding Tasks. Shihab, Md Istiak Hossain; Hundhausen, Christopher; Tariq, Ahsun; Haque, Summit; Qiao, Yunhan; Mulanda, Brian Wise, 2025. Bibkey: shihab_effects_2025.</w:t>
      </w:r>
    </w:p>
    <w:p>
      <w:r>
        <w:t>[58] Comprehension-Performance Gap in GenAI-Assisted Brownfield Programming: A Replication and Extension. Qiao, Yunhan; Hundhausen, Christopher; Haque, Summit; Shihab, Md Istiak Hossain, 2025. Bibkey: qiao_comprehension-performance_2025.</w:t>
      </w:r>
    </w:p>
    <w:p>
      <w:r>
        <w:t>[59] CREF: An LLM-Based Conversational Software Repair Framework for Programming Tutors. Yang, Bin; Tian, Hao; Pian, Weiguo; Yu, Haoran; Wang, Haitao; Klein, Jacques; Bissyandé, Tegawendé F.; Jin, Shiqi, 2024. Bibkey: yang_cref_2024.</w:t>
      </w:r>
    </w:p>
    <w:p>
      <w:r>
        <w:t>[60] Rethinking Code Review Workflows with LLM Assistance: An Empirical Study. Aðalsteinsson, Fannar Steinn; Magnussoú, Björn Borgar; Milicevic, Mislav; Davidsson, Adam Nirving; Cheng, Chih-Hong, 2025. Bibkey: aalsteinsson_rethinking_2025.</w:t>
      </w:r>
    </w:p>
    <w:p>
      <w:pPr>
        <w:pStyle w:val="Heading1"/>
      </w:pPr>
      <w:r>
        <w:t>6. Self-validation pass</w:t>
      </w:r>
    </w:p>
    <w:p>
      <w:r>
        <w:t>All cited and table-listed bibkeys were checked against NB3_HAI_CORE.bib.</w:t>
      </w:r>
    </w:p>
    <w:p>
      <w:r>
        <w:t>Quality tiers were checked against column S (Clasificación) and use only A1, A2 or B.</w:t>
      </w:r>
    </w:p>
    <w:p>
      <w:r>
        <w:t>References were generated through the BIB -&gt; Relación de Estudios.xlsx Zotero key -&gt; NB3_HAI_CORE.csv mapping.</w:t>
      </w:r>
    </w:p>
    <w:p>
      <w:r>
        <w:t>No empirical claims were introduced beyond the six Phase 1 artefacts and the two Phase 2 syntheses.</w:t>
      </w:r>
    </w:p>
    <w:p>
      <w:r>
        <w:t>The reference list contains no empty author or year fields and no LaTeX-escaped title or author strings.</w:t>
      </w:r>
    </w:p>
    <w:p>
      <w:r>
        <w:t>British English spelling was used throughout.</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eastAsia="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eastAsia="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eastAsia="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eastAsia="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eastAsia="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eastAsia="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eastAsia="Aptos"/>
    </w:rPr>
  </w:style>
  <w:style w:type="paragraph" w:styleId="BodyText">
    <w:name w:val="Body Text"/>
    <w:basedOn w:val="Normal"/>
    <w:link w:val="BodyTextChar"/>
    <w:uiPriority w:val="99"/>
    <w:unhideWhenUsed/>
    <w:rsid w:val="00AA1D8D"/>
    <w:pPr>
      <w:spacing w:after="120"/>
    </w:pPr>
    <w:rPr>
      <w:rFonts w:ascii="Aptos" w:hAnsi="Aptos" w:eastAsia="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eastAsia="Apto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eastAsia="Apto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eastAsia="Aptos"/>
    </w:rPr>
  </w:style>
  <w:style w:type="paragraph" w:styleId="List2">
    <w:name w:val="List 2"/>
    <w:basedOn w:val="Normal"/>
    <w:uiPriority w:val="99"/>
    <w:unhideWhenUsed/>
    <w:rsid w:val="00326F90"/>
    <w:pPr>
      <w:ind w:left="720" w:hanging="360"/>
      <w:contextualSpacing/>
    </w:pPr>
    <w:rPr>
      <w:rFonts w:ascii="Aptos" w:hAnsi="Aptos" w:eastAsia="Aptos"/>
    </w:rPr>
  </w:style>
  <w:style w:type="paragraph" w:styleId="List3">
    <w:name w:val="List 3"/>
    <w:basedOn w:val="Normal"/>
    <w:uiPriority w:val="99"/>
    <w:unhideWhenUsed/>
    <w:rsid w:val="00326F90"/>
    <w:pPr>
      <w:ind w:left="1080" w:hanging="360"/>
      <w:contextualSpacing/>
    </w:pPr>
    <w:rPr>
      <w:rFonts w:ascii="Aptos" w:hAnsi="Aptos" w:eastAsia="Aptos"/>
    </w:r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rPr>
      <w:rFonts w:ascii="Aptos" w:hAnsi="Aptos" w:eastAsia="Aptos"/>
    </w:rPr>
  </w:style>
  <w:style w:type="paragraph" w:styleId="ListBullet3">
    <w:name w:val="List Bullet 3"/>
    <w:basedOn w:val="Normal"/>
    <w:uiPriority w:val="99"/>
    <w:unhideWhenUsed/>
    <w:rsid w:val="00326F90"/>
    <w:pPr>
      <w:numPr>
        <w:numId w:val="3"/>
      </w:numPr>
      <w:contextualSpacing/>
    </w:pPr>
    <w:rPr>
      <w:rFonts w:ascii="Aptos" w:hAnsi="Aptos" w:eastAsia="Aptos"/>
    </w:rPr>
  </w:style>
  <w:style w:type="paragraph" w:styleId="ListNumber">
    <w:name w:val="List Number"/>
    <w:basedOn w:val="Normal"/>
    <w:uiPriority w:val="99"/>
    <w:unhideWhenUsed/>
    <w:rsid w:val="00326F90"/>
    <w:pPr>
      <w:numPr>
        <w:numId w:val="5"/>
      </w:numPr>
      <w:contextualSpacing/>
    </w:pPr>
    <w:rPr>
      <w:rFonts w:ascii="Aptos" w:hAnsi="Aptos" w:eastAsia="Aptos"/>
    </w:rPr>
  </w:style>
  <w:style w:type="paragraph" w:styleId="ListNumber2">
    <w:name w:val="List Number 2"/>
    <w:basedOn w:val="Normal"/>
    <w:uiPriority w:val="99"/>
    <w:unhideWhenUsed/>
    <w:rsid w:val="0029639D"/>
    <w:pPr>
      <w:numPr>
        <w:numId w:val="6"/>
      </w:numPr>
      <w:contextualSpacing/>
    </w:pPr>
    <w:rPr>
      <w:rFonts w:ascii="Aptos" w:hAnsi="Aptos" w:eastAsia="Aptos"/>
    </w:rPr>
  </w:style>
  <w:style w:type="paragraph" w:styleId="ListNumber3">
    <w:name w:val="List Number 3"/>
    <w:basedOn w:val="Normal"/>
    <w:uiPriority w:val="99"/>
    <w:unhideWhenUsed/>
    <w:rsid w:val="0029639D"/>
    <w:pPr>
      <w:numPr>
        <w:numId w:val="7"/>
      </w:numPr>
      <w:contextualSpacing/>
    </w:pPr>
    <w:rPr>
      <w:rFonts w:ascii="Aptos" w:hAnsi="Aptos" w:eastAsia="Aptos"/>
    </w:rPr>
  </w:style>
  <w:style w:type="paragraph" w:styleId="ListContinue">
    <w:name w:val="List Continue"/>
    <w:basedOn w:val="Normal"/>
    <w:uiPriority w:val="99"/>
    <w:unhideWhenUsed/>
    <w:rsid w:val="0029639D"/>
    <w:pPr>
      <w:spacing w:after="120"/>
      <w:ind w:left="360"/>
      <w:contextualSpacing/>
    </w:pPr>
    <w:rPr>
      <w:rFonts w:ascii="Aptos" w:hAnsi="Aptos" w:eastAsia="Aptos"/>
    </w:rPr>
  </w:style>
  <w:style w:type="paragraph" w:styleId="ListContinue2">
    <w:name w:val="List Continue 2"/>
    <w:basedOn w:val="Normal"/>
    <w:uiPriority w:val="99"/>
    <w:unhideWhenUsed/>
    <w:rsid w:val="0029639D"/>
    <w:pPr>
      <w:spacing w:after="120"/>
      <w:ind w:left="720"/>
      <w:contextualSpacing/>
    </w:pPr>
    <w:rPr>
      <w:rFonts w:ascii="Aptos" w:hAnsi="Aptos" w:eastAsia="Aptos"/>
    </w:rPr>
  </w:style>
  <w:style w:type="paragraph" w:styleId="ListContinue3">
    <w:name w:val="List Continue 3"/>
    <w:basedOn w:val="Normal"/>
    <w:uiPriority w:val="99"/>
    <w:unhideWhenUsed/>
    <w:rsid w:val="0029639D"/>
    <w:pPr>
      <w:spacing w:after="120"/>
      <w:ind w:left="1080"/>
      <w:contextualSpacing/>
    </w:pPr>
    <w:rPr>
      <w:rFonts w:ascii="Aptos" w:hAnsi="Aptos" w:eastAsia="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eastAsia="Apto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eastAsia="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eastAsia="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eastAsia="Apto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