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4.3 — HAI Cross-Dimensional Patterns</w:t>
      </w:r>
    </w:p>
    <w:p>
      <w:r>
        <w:rPr>
          <w:i/>
        </w:rPr>
        <w:t>AI-Assisted Programming in Software Engineering: A Systematic Literature Review and Socio-Technical Perspective</w:t>
      </w:r>
    </w:p>
    <w:p>
      <w:pPr>
        <w:pStyle w:val="Heading1"/>
      </w:pPr>
      <w:r>
        <w:t>1. Cross-dimensional pattern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sz w:val="16"/>
              </w:rPr>
              <w:t>Dimension</w:t>
            </w:r>
          </w:p>
        </w:tc>
        <w:tc>
          <w:tcPr>
            <w:tcW w:type="dxa" w:w="2045"/>
            <w:vAlign w:val="center"/>
          </w:tcPr>
          <w:p>
            <w:r>
              <w:rPr>
                <w:sz w:val="16"/>
              </w:rPr>
              <w:t>HAI connection</w:t>
            </w:r>
          </w:p>
        </w:tc>
        <w:tc>
          <w:tcPr>
            <w:tcW w:type="dxa" w:w="2045"/>
            <w:vAlign w:val="center"/>
          </w:tcPr>
          <w:p>
            <w:r>
              <w:rPr>
                <w:sz w:val="16"/>
              </w:rPr>
              <w:t>Direction of influence</w:t>
            </w:r>
          </w:p>
        </w:tc>
        <w:tc>
          <w:tcPr>
            <w:tcW w:type="dxa" w:w="2045"/>
            <w:vAlign w:val="center"/>
          </w:tcPr>
          <w:p>
            <w:r>
              <w:rPr>
                <w:sz w:val="16"/>
              </w:rPr>
              <w:t>Key HAI bibkeys</w:t>
            </w:r>
          </w:p>
        </w:tc>
        <w:tc>
          <w:tcPr>
            <w:tcW w:type="dxa" w:w="2045"/>
            <w:vAlign w:val="center"/>
          </w:tcPr>
          <w:p>
            <w:r>
              <w:rPr>
                <w:sz w:val="16"/>
              </w:rPr>
              <w:t>Strength</w:t>
            </w:r>
          </w:p>
        </w:tc>
      </w:tr>
      <w:tr>
        <w:tc>
          <w:tcPr>
            <w:tcW w:type="dxa" w:w="2045"/>
          </w:tcPr>
          <w:p>
            <w:r>
              <w:rPr>
                <w:sz w:val="16"/>
              </w:rPr>
              <w:t>Code Quality and Technical Debt</w:t>
            </w:r>
          </w:p>
        </w:tc>
        <w:tc>
          <w:tcPr>
            <w:tcW w:type="dxa" w:w="2045"/>
          </w:tcPr>
          <w:p>
            <w:r>
              <w:rPr>
                <w:sz w:val="16"/>
              </w:rPr>
              <w:t>Interaction quality and trust calibration determine whether generated artefacts are inspected, tested, repaired or accepted too early. HAI therefore explains why faster generation can either support code-quality work or increase validation burden, especially when plausible output is insecure or difficult to verify.</w:t>
            </w:r>
          </w:p>
        </w:tc>
        <w:tc>
          <w:tcPr>
            <w:tcW w:type="dxa" w:w="2045"/>
          </w:tcPr>
          <w:p>
            <w:r>
              <w:rPr>
                <w:sz w:val="16"/>
              </w:rPr>
              <w:t>Bidirectional</w:t>
            </w:r>
          </w:p>
        </w:tc>
        <w:tc>
          <w:tcPr>
            <w:tcW w:type="dxa" w:w="2045"/>
          </w:tcPr>
          <w:p>
            <w:r>
              <w:rPr>
                <w:sz w:val="16"/>
              </w:rPr>
              <w:t>nam_understanding_2025; mozannar_reading_2024; perry_users_2023; xia_agentless_2024</w:t>
            </w:r>
          </w:p>
        </w:tc>
        <w:tc>
          <w:tcPr>
            <w:tcW w:type="dxa" w:w="2045"/>
          </w:tcPr>
          <w:p>
            <w:r>
              <w:rPr>
                <w:sz w:val="16"/>
              </w:rPr>
              <w:t>Strong</w:t>
            </w:r>
          </w:p>
        </w:tc>
      </w:tr>
      <w:tr>
        <w:tc>
          <w:tcPr>
            <w:tcW w:type="dxa" w:w="2045"/>
          </w:tcPr>
          <w:p>
            <w:r>
              <w:rPr>
                <w:sz w:val="16"/>
              </w:rPr>
              <w:t>Productivity</w:t>
            </w:r>
          </w:p>
        </w:tc>
        <w:tc>
          <w:tcPr>
            <w:tcW w:type="dxa" w:w="2045"/>
          </w:tcPr>
          <w:p>
            <w:r>
              <w:rPr>
                <w:sz w:val="16"/>
              </w:rPr>
              <w:t>HAI qualifies productivity claims by separating raw generation speed from realised work value. The workflow evidence shows a shift towards reading, editing, rejection, validation and orchestration, so productivity depends on whether interaction reduces or amplifies downstream inspection costs.</w:t>
            </w:r>
          </w:p>
        </w:tc>
        <w:tc>
          <w:tcPr>
            <w:tcW w:type="dxa" w:w="2045"/>
          </w:tcPr>
          <w:p>
            <w:r>
              <w:rPr>
                <w:sz w:val="16"/>
              </w:rPr>
              <w:t>HAI → dimension</w:t>
            </w:r>
          </w:p>
        </w:tc>
        <w:tc>
          <w:tcPr>
            <w:tcW w:type="dxa" w:w="2045"/>
          </w:tcPr>
          <w:p>
            <w:r>
              <w:rPr>
                <w:sz w:val="16"/>
              </w:rPr>
              <w:t>mozannar_reading_2024; hao_empirical_2024; santos_model-assisted_2025</w:t>
            </w:r>
          </w:p>
        </w:tc>
        <w:tc>
          <w:tcPr>
            <w:tcW w:type="dxa" w:w="2045"/>
          </w:tcPr>
          <w:p>
            <w:r>
              <w:rPr>
                <w:sz w:val="16"/>
              </w:rPr>
              <w:t>Strong</w:t>
            </w:r>
          </w:p>
        </w:tc>
      </w:tr>
      <w:tr>
        <w:tc>
          <w:tcPr>
            <w:tcW w:type="dxa" w:w="2045"/>
          </w:tcPr>
          <w:p>
            <w:r>
              <w:rPr>
                <w:sz w:val="16"/>
              </w:rPr>
              <w:t>Cognitive Load</w:t>
            </w:r>
          </w:p>
        </w:tc>
        <w:tc>
          <w:tcPr>
            <w:tcW w:type="dxa" w:w="2045"/>
          </w:tcPr>
          <w:p>
            <w:r>
              <w:rPr>
                <w:sz w:val="16"/>
              </w:rPr>
              <w:t>Prompting, review and reliance decisions move cognitive effort from direct construction towards supervision, explanation, validation and decision-making. The connection is conceptually central in HAI, but companion cognitive-load evidence is pending.</w:t>
            </w:r>
          </w:p>
        </w:tc>
        <w:tc>
          <w:tcPr>
            <w:tcW w:type="dxa" w:w="2045"/>
          </w:tcPr>
          <w:p>
            <w:r>
              <w:rPr>
                <w:sz w:val="16"/>
              </w:rPr>
              <w:t>Bidirectional</w:t>
            </w:r>
          </w:p>
        </w:tc>
        <w:tc>
          <w:tcPr>
            <w:tcW w:type="dxa" w:w="2045"/>
          </w:tcPr>
          <w:p>
            <w:r>
              <w:rPr>
                <w:sz w:val="16"/>
              </w:rPr>
              <w:t>mozannar_reading_2024; prather_its_2024; qiao_comprehension-performance_2025</w:t>
            </w:r>
          </w:p>
        </w:tc>
        <w:tc>
          <w:tcPr>
            <w:tcW w:type="dxa" w:w="2045"/>
          </w:tcPr>
          <w:p>
            <w:r>
              <w:rPr>
                <w:sz w:val="16"/>
              </w:rPr>
              <w:t>Moderate</w:t>
            </w:r>
          </w:p>
        </w:tc>
      </w:tr>
      <w:tr>
        <w:tc>
          <w:tcPr>
            <w:tcW w:type="dxa" w:w="2045"/>
          </w:tcPr>
          <w:p>
            <w:r>
              <w:rPr>
                <w:sz w:val="16"/>
              </w:rPr>
              <w:t>Organisational Impact</w:t>
            </w:r>
          </w:p>
        </w:tc>
        <w:tc>
          <w:tcPr>
            <w:tcW w:type="dxa" w:w="2045"/>
          </w:tcPr>
          <w:p>
            <w:r>
              <w:rPr>
                <w:sz w:val="16"/>
              </w:rPr>
              <w:t>Shared AI conversations in pull requests and issues make HAI visible in project artefacts and review practices. This suggests organisational implications for trace governance and responsibility, but broader organisational evidence remains pending.</w:t>
            </w:r>
          </w:p>
        </w:tc>
        <w:tc>
          <w:tcPr>
            <w:tcW w:type="dxa" w:w="2045"/>
          </w:tcPr>
          <w:p>
            <w:r>
              <w:rPr>
                <w:sz w:val="16"/>
              </w:rPr>
              <w:t>HAI → dimension</w:t>
            </w:r>
          </w:p>
        </w:tc>
        <w:tc>
          <w:tcPr>
            <w:tcW w:type="dxa" w:w="2045"/>
          </w:tcPr>
          <w:p>
            <w:r>
              <w:rPr>
                <w:sz w:val="16"/>
              </w:rPr>
              <w:t>hao_empirical_2024; wang_investigating_2024; liang_large-scale_2024</w:t>
            </w:r>
          </w:p>
        </w:tc>
        <w:tc>
          <w:tcPr>
            <w:tcW w:type="dxa" w:w="2045"/>
          </w:tcPr>
          <w:p>
            <w:r>
              <w:rPr>
                <w:sz w:val="16"/>
              </w:rPr>
              <w:t>Speculative</w:t>
            </w:r>
          </w:p>
        </w:tc>
      </w:tr>
      <w:tr>
        <w:tc>
          <w:tcPr>
            <w:tcW w:type="dxa" w:w="2045"/>
          </w:tcPr>
          <w:p>
            <w:r>
              <w:rPr>
                <w:sz w:val="16"/>
              </w:rPr>
              <w:t>Economic Impact</w:t>
            </w:r>
          </w:p>
        </w:tc>
        <w:tc>
          <w:tcPr>
            <w:tcW w:type="dxa" w:w="2045"/>
          </w:tcPr>
          <w:p>
            <w:r>
              <w:rPr>
                <w:sz w:val="16"/>
              </w:rPr>
              <w:t>Economic value cannot be inferred from generation speed alone because HAI evidence exposes hidden costs of inspection, correction, security checking and usability friction. Direct economic evidence is not established by the HAI corpus.</w:t>
            </w:r>
          </w:p>
        </w:tc>
        <w:tc>
          <w:tcPr>
            <w:tcW w:type="dxa" w:w="2045"/>
          </w:tcPr>
          <w:p>
            <w:r>
              <w:rPr>
                <w:sz w:val="16"/>
              </w:rPr>
              <w:t>HAI → dimension</w:t>
            </w:r>
          </w:p>
        </w:tc>
        <w:tc>
          <w:tcPr>
            <w:tcW w:type="dxa" w:w="2045"/>
          </w:tcPr>
          <w:p>
            <w:r>
              <w:rPr>
                <w:sz w:val="16"/>
              </w:rPr>
              <w:t>mozannar_reading_2024; tan_how_2024; mastropaolo_robustness_2023</w:t>
            </w:r>
          </w:p>
        </w:tc>
        <w:tc>
          <w:tcPr>
            <w:tcW w:type="dxa" w:w="2045"/>
          </w:tcPr>
          <w:p>
            <w:r>
              <w:rPr>
                <w:sz w:val="16"/>
              </w:rPr>
              <w:t>Speculative</w:t>
            </w:r>
          </w:p>
        </w:tc>
      </w:tr>
      <w:tr>
        <w:tc>
          <w:tcPr>
            <w:tcW w:type="dxa" w:w="2045"/>
          </w:tcPr>
          <w:p>
            <w:r>
              <w:rPr>
                <w:sz w:val="16"/>
              </w:rPr>
              <w:t>Perception and Trust</w:t>
            </w:r>
          </w:p>
        </w:tc>
        <w:tc>
          <w:tcPr>
            <w:tcW w:type="dxa" w:w="2045"/>
          </w:tcPr>
          <w:p>
            <w:r>
              <w:rPr>
                <w:sz w:val="16"/>
              </w:rPr>
              <w:t>Perception and trust are tightly coupled with HAI because reliance is regulated through perceived quality, fit, controllability, effort awareness and verification capacity. HAI supplies behavioural mechanisms for interpreting trust as calibrated action rather than attitude alone.</w:t>
            </w:r>
          </w:p>
        </w:tc>
        <w:tc>
          <w:tcPr>
            <w:tcW w:type="dxa" w:w="2045"/>
          </w:tcPr>
          <w:p>
            <w:r>
              <w:rPr>
                <w:sz w:val="16"/>
              </w:rPr>
              <w:t>Bidirectional</w:t>
            </w:r>
          </w:p>
        </w:tc>
        <w:tc>
          <w:tcPr>
            <w:tcW w:type="dxa" w:w="2045"/>
          </w:tcPr>
          <w:p>
            <w:r>
              <w:rPr>
                <w:sz w:val="16"/>
              </w:rPr>
              <w:t>brown_identifying_2024; wang_investigating_2024; liang_large-scale_2024; tan_how_2024</w:t>
            </w:r>
          </w:p>
        </w:tc>
        <w:tc>
          <w:tcPr>
            <w:tcW w:type="dxa" w:w="2045"/>
          </w:tcPr>
          <w:p>
            <w:r>
              <w:rPr>
                <w:sz w:val="16"/>
              </w:rPr>
              <w:t>Strong</w:t>
            </w:r>
          </w:p>
        </w:tc>
      </w:tr>
    </w:tbl>
    <w:p>
      <w:pPr>
        <w:pStyle w:val="Heading1"/>
      </w:pPr>
      <w:r>
        <w:t>2. Three cross-dimensional propositions</w:t>
      </w:r>
    </w:p>
    <w:p>
      <w:pPr>
        <w:pStyle w:val="Heading2"/>
      </w:pPr>
      <w:r>
        <w:t>Proposition 1 — Interaction-regulated quality boundary</w:t>
      </w:r>
    </w:p>
    <w:p>
      <w:r>
        <w:t>If AI-assisted programming accelerates access to candidate code without preserving prompt quality, contextualisation, iterative repair and verification capacity, then code-quality and technical-debt outcomes will remain unstable, because HAI evidence shows that task representation changes generated-code outcomes and that generated artefacts require reading, validation and security-sensitive judgement before they become dependable work products [1][2][3][6]. This proposition would be falsified if code correctness, maintainability, security and correction effort were invariant across prompt quality, context, faulty-premise handling and verification conditions. Strength: strong, given the completed HAI and CQTD syntheses.</w:t>
      </w:r>
    </w:p>
    <w:p>
      <w:pPr>
        <w:pStyle w:val="Heading2"/>
      </w:pPr>
      <w:r>
        <w:t>Proposition 2 — Productivity-through-validation proposition</w:t>
      </w:r>
    </w:p>
    <w:p>
      <w:r>
        <w:t>If AI assistance is evaluated as productivity without accounting for interaction cost, then productivity will be overstated, because HAI evidence shows that developer work shifts towards reading, editing, rejection, validation, orchestration and trace management rather than disappearing [3][7][11]. This proposition would be falsified if measured productivity gains persisted unchanged after including the time and effort required to inspect, adapt, reject, integrate and document AI-generated outputs. Strength: strong for HAI-grounded productivity qualification; companion productivity synthesis pending.</w:t>
      </w:r>
    </w:p>
    <w:p>
      <w:pPr>
        <w:pStyle w:val="Heading2"/>
      </w:pPr>
      <w:r>
        <w:t>Proposition 3 — Calibrated-reliance transfer proposition</w:t>
      </w:r>
    </w:p>
    <w:p>
      <w:r>
        <w:t>If developers lack mechanisms for calibrated reliance, then favourable perceptions of AI assistance will not reliably transfer into learning, organisational or economic benefit, because HAI evidence shows that acceptance depends on quality, fit, controllability, effort awareness and verifiability, while novice progress and usability can coexist with comprehension gaps, over-reliance concerns and unresolved validation work [4][5][9][10][15]. This proposition would be falsified if perception, learning transfer, organisational uptake and economic value were independent of reliance calibration, verification capacity and task-specific feedback. Strength: moderate for learning and perception; speculative — pending companion notebook evidence — for organisational and economic outcomes.</w:t>
      </w:r>
    </w:p>
    <w:p>
      <w:pPr>
        <w:pStyle w:val="Heading1"/>
      </w:pPr>
      <w:r>
        <w:t>3. Narrative synthesis</w:t>
      </w:r>
    </w:p>
    <w:p>
      <w:r>
        <w:t>HAI connects most strongly to Code Quality and Technical Debt because it identifies the mechanism through which generated artefacts either become dependable engineering work or create additional validation burden. Prompting, contextualisation and repair behaviour determine whether the model receives enough information to produce output aligned with local intent, while verification capacity determines whether plausible output is accepted, revised, tested or rejected [1][2][3]. This makes the HAI-CQTD connection bidirectional: interaction quality shapes the quality of generated artefacts, and code-quality risk feeds back into stricter reliance, testing and security practices [6][12].</w:t>
      </w:r>
    </w:p>
    <w:p>
      <w:r>
        <w:t>The second strongest connection is with Perception and Trust. HAI reframes trust as calibrated reliance rather than a favourable attitude towards automation. Developers regulate acceptance through perceived quality, contextual fit, controllability, effort awareness and verifiability, and large-scale usability evidence shows that relevance, explanation, format and workflow fit remain central to whether assistants are useful in practice [4][5][16][17]. This connection matters because perception alone cannot establish engineering value: positive experience and continuance may coexist with debugging effort, hidden inspection costs and unresolved responsibility [11][3].</w:t>
      </w:r>
    </w:p>
    <w:p>
      <w:r>
        <w:t>Productivity is also tightly connected to HAI, but the connection is mainly corrective. The evidence does not support a simple equation between faster generation and realised productivity. Instead, AI assistance redistributes work towards reading, editing, rejection, validation, orchestration and the management of AI traces in project artefacts [3][7]. This redistribution also links HAI to cognitive load: cognitive effort moves from direct code construction towards supervision, explanation and judgement, a pattern that becomes especially visible when novice completion gains coexist with fragile comprehension and transfer [9][10].</w:t>
      </w:r>
    </w:p>
    <w:p>
      <w:r>
        <w:t>Connections to Organisational and Economic Impact are less settled. Shared AI conversations in pull requests and issues suggest implications for review practices, responsibility and trace governance, but these HAI findings do not by themselves establish organisational transformation [7][5]. Likewise, economic benefit cannot be inferred from generation efficiency without accounting for inspection, correction, security checking and usability friction [3][13]. The main cross-dimensional gap is therefore the absence of longitudinal, repository-level and cost-sensitive evidence linking calibrated interaction to downstream organisational routines and economic outcomes. Until the companion dimensions provide stronger evidence, these links should remain speculative rather than treated as established effects.</w:t>
      </w:r>
    </w:p>
    <w:p>
      <w:pPr>
        <w:pStyle w:val="Heading1"/>
      </w:pPr>
      <w:r>
        <w:t>4. References</w:t>
      </w:r>
    </w:p>
    <w:p>
      <w:r>
        <w:t>[1] Understanding and Supporting How Developers Prompt for LLM-powered Code Editing in Practice. Nam, Daye; Omran, Ahmed; Murillo, Ambar; Thakur, Saksham; Araujo, Abner; Blistein, Marcel; Frömmgen, Alexander; Hellendoorn, Vincent; Chandra, Satish, 2025. Bibkey: nam_understanding_2025. Corpus: CORE. Quality tier: A1.</w:t>
      </w:r>
    </w:p>
    <w:p>
      <w:r>
        <w:t>[2] When Prompts Go Wrong: Evaluating Code Model Robustness to Ambiguous, Contradictory, and Incomplete Task Descriptions. Larbi, Maya; Akli, Amal; Papadakis, Mike; Bouyousfi, Rihab; Cordy, Maxime; Sarro, Federica; Traon, Yves Le, 2025. Bibkey: larbi_when_2025. Corpus: CORE. Quality tier: A1.</w:t>
      </w:r>
    </w:p>
    <w:p>
      <w:r>
        <w:t>[3] Reading Between the Lines: Modeling User Behavior and Costs in AI-Assisted Programming. Mozannar, Hussein; Bansal, Gagan; Fourney, Adam; Horvitz, Eric, 2024. Bibkey: mozannar_reading_2024. Corpus: CORE. Quality tier: A1.</w:t>
      </w:r>
    </w:p>
    <w:p>
      <w:r>
        <w:t>[4] Identifying the Factors That Influence Trust in AI Code Completion. Brown, Adam; D'Angelo, Sarah; Murillo, Ambar; Jaspan, Ciera; Green, Collin, 2024. Bibkey: brown_identifying_2024. Corpus: CORE. Quality tier: A2.</w:t>
      </w:r>
    </w:p>
    <w:p>
      <w:r>
        <w:t>[5] Investigating and Designing for Trust in AI-powered Code Generation Tools. Wang, Ruotong; Cheng, Ruijia; Ford, Denae; Zimmermann, Thomas, 2024. Bibkey: wang_investigating_2024. Corpus: CORE. Quality tier: A1.</w:t>
      </w:r>
    </w:p>
    <w:p>
      <w:r>
        <w:t>[6] Do Users Write More Insecure Code with AI Assistants?. Perry, Neil; Srivastava, Megha; Kumar, Deepak; Boneh, Dan, 2023. Bibkey: perry_users_2023. Corpus: CORE. Quality tier: A1.</w:t>
      </w:r>
    </w:p>
    <w:p>
      <w:r>
        <w:t>[7] An Empirical Study on Developers’ Shared Conversations with ChatGPT in GitHub Pull Requests and Issues. Hao, Huizi; Hasan, Kazi Amit; Qin, Hong; Macedo, Marcos; Tian, Yuan; Ding, Steven H. H.; Hassan, Ahmed E., 2024. Bibkey: hao_empirical_2024. Corpus: CORE. Quality tier: A2.</w:t>
      </w:r>
    </w:p>
    <w:p>
      <w:r>
        <w:t>[8] The New Developer: AI Skill Threat, Identity Change &amp; Developer Thriving in the Transition to AI-Assisted Software Development. Hicks, Catherine M.; Lee, Carol S; Foster-Marks, Kristen, 2024. Bibkey: hicks_new_2024. Corpus: CORE. Quality tier: A2.</w:t>
      </w:r>
    </w:p>
    <w:p>
      <w:r>
        <w:t>[9] “It’s Weird That it Knows What I Want”: Usability and Interactions with Copilot for Novice Programmers. Prather, James; Reeves, Brent N.; Denny, Paul; Becker, Brett A.; Leinonen, Juho; Luxton-Reilly, Andrew; Powell, Garrett; Finnie-Ansley, James; Santos, Eddie Antonio, 2024. Bibkey: prather_its_2024. Corpus: CORE. Quality tier: A2.</w:t>
      </w:r>
    </w:p>
    <w:p>
      <w:r>
        <w:t>[10] Comprehension-Performance Gap in GenAI-Assisted Brownfield Programming: A Replication and Extension. Qiao, Yunhan; Hundhausen, Christopher; Haque, Summit; Shihab, Md Istiak Hossain, 2025. Bibkey: qiao_comprehension-performance_2025. Corpus: CORE. Quality tier: A2.</w:t>
      </w:r>
    </w:p>
    <w:p>
      <w:r>
        <w:t>[11] Model-Assisted and Human-Guided: Perceptions and Practices of Software Professionals Using LLMs for Coding. Santos, Italo; Magalhaes, Cleyton; Santos, Ronnie de Souza, 2025. Bibkey: santos_model-assisted_2025. Corpus: CORE. Quality tier: A2.</w:t>
      </w:r>
    </w:p>
    <w:p>
      <w:r>
        <w:t>[12] Agentless: Demystifying LLM-based Software Engineering Agents. Xia, Chunqiu Steven; Deng, Yinlin; Dunn, Stanley; Zhang, Lingming, 2024. Bibkey: xia_agentless_2024. Corpus: CORE. Quality tier: A1.</w:t>
      </w:r>
    </w:p>
    <w:p>
      <w:r>
        <w:t>[13] On the Robustness of Code Generation Techniques: An Empirical Study on GitHub Copilot. Mastropaolo, Antonio; Pascarella, Luca; Guglielmi, Emanuela; Ciniselli, Matteo; Scalabrino, Simone; Oliveto, Rocco; Bavota, Gabriele, 2023. Bibkey: mastropaolo_robustness_2023. Corpus: SUPPORT. Quality tier: A2.</w:t>
      </w:r>
    </w:p>
    <w:p>
      <w:r>
        <w:t>[14] SIMCOPILOT: Evaluating Large Language Models for Copilot-Style Code Generation. Jiang, Mingchao; Jain, Abhinav; Zorek, Sophia; Jermaine, Chris, 2025. Bibkey: jiang_simcopilot_2025. Corpus: SUPPORT. Quality tier: A1.</w:t>
      </w:r>
    </w:p>
    <w:p>
      <w:r>
        <w:t>[15] Students' Perspectives on AI Code Completion: Benefits and Challenges. Takerngsaksiri, Wannita; Warusavitarne, Cleshan; Yaacoub, Christian; Keng Hou, Matthew Hee; Tantithamthavorn, Chakkrit, 2024. Bibkey: takerngsaksiri_students_2024. Corpus: SUPPORT. Quality tier: A2.</w:t>
      </w:r>
    </w:p>
    <w:p>
      <w:r>
        <w:t>[16] A Large-Scale Survey on the Usability of AI Programming Assistants: Successes and Challenges. Liang, Jenny T.; Yang, Chenyang; Myers, Brad A., 2024. Bibkey: liang_large-scale_2024. Corpus: SUPPORT. Quality tier: A2.</w:t>
      </w:r>
    </w:p>
    <w:p>
      <w:r>
        <w:t>[17] How Far are AI-powered Programming Assistants from Meeting Developers' Needs?. Tan, Xin; Long, Xiao; Ni, Xianjun; Zhu, Yinghao; Jiang, Jing; Zhang, Li, 2024. Bibkey: tan_how_2024. Corpus: SUPPORT. Quality tier: A2.</w:t>
      </w:r>
    </w:p>
    <w:p>
      <w:pPr>
        <w:pStyle w:val="Heading1"/>
      </w:pPr>
      <w:r>
        <w:t>5. Self-validation pass</w:t>
      </w:r>
    </w:p>
    <w:p>
      <w:r>
        <w:t>Cited bibkeys checked literally against NB3_HAI_CORE.bib or NB4_HAI_Support.bib: 17 cited bibkeys.</w:t>
      </w:r>
    </w:p>
    <w:p>
      <w:r>
        <w:t>All cited papers are drawn from Phase 3.1, Phase 3.4, Phase 4.1 and Phase 4.2 evidence; no new empirical claims were introduced.</w:t>
      </w:r>
    </w:p>
    <w:p>
      <w:r>
        <w:t>No REMOVE_CANDIDATE paper is cited.</w:t>
      </w:r>
    </w:p>
    <w:p>
      <w:r>
        <w:t>No Zotero item key is used as a bibkey.</w:t>
      </w:r>
    </w:p>
    <w:p>
      <w:r>
        <w:t>References list only papers cited inline and contain no empty author or year fields.</w:t>
      </w:r>
    </w:p>
    <w:p>
      <w:r>
        <w:t>Quality tiers use only A1, A2 or B.</w:t>
      </w:r>
    </w:p>
    <w:p>
      <w:r>
        <w:t>British English is used throughout, and manuscript-prose sections avoid methodological scaffolding language.</w:t>
      </w:r>
    </w:p>
    <w:p>
      <w:r>
        <w:t>Connections to Organisational and Economic Impact are labelled speculative where companion notebook evidence is pending.</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