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1.1 — NB4 HAI SUPPORT: Prompting Dynamics and Conversational Strategies</w:t>
      </w:r>
    </w:p>
    <w:p>
      <w:r>
        <w:t>Scope and safeguards: this artefact uses only SUPPORTING papers from NB4_HAI_SUPPORT. Bibkeys were verified literally against NB4_HAI_Support.bib; tiers and segments were taken from Relación de Estudios.xlsx; references were assembled through the Zotero-key mapping to NB4_HAI_Support.csv. REMOVE_CANDIDATE papers are not cited.</w:t>
      </w:r>
    </w:p>
    <w:p>
      <w:pPr>
        <w:pStyle w:val="Heading1"/>
      </w:pPr>
      <w:r>
        <w:t>1. Evidence matrix</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top"/>
          </w:tcPr>
          <w:p>
            <w:r>
              <w:rPr>
                <w:sz w:val="14"/>
              </w:rPr>
              <w:t>Bibkey</w:t>
            </w:r>
          </w:p>
        </w:tc>
        <w:tc>
          <w:tcPr>
            <w:tcW w:type="dxa" w:w="1332"/>
            <w:vAlign w:val="top"/>
          </w:tcPr>
          <w:p>
            <w:r>
              <w:rPr>
                <w:sz w:val="14"/>
              </w:rPr>
              <w:t>Year</w:t>
            </w:r>
          </w:p>
        </w:tc>
        <w:tc>
          <w:tcPr>
            <w:tcW w:type="dxa" w:w="1332"/>
            <w:vAlign w:val="top"/>
          </w:tcPr>
          <w:p>
            <w:r>
              <w:rPr>
                <w:sz w:val="14"/>
              </w:rPr>
              <w:t>Quality tier</w:t>
            </w:r>
          </w:p>
        </w:tc>
        <w:tc>
          <w:tcPr>
            <w:tcW w:type="dxa" w:w="1332"/>
            <w:vAlign w:val="top"/>
          </w:tcPr>
          <w:p>
            <w:r>
              <w:rPr>
                <w:sz w:val="14"/>
              </w:rPr>
              <w:t>Segment</w:t>
            </w:r>
          </w:p>
        </w:tc>
        <w:tc>
          <w:tcPr>
            <w:tcW w:type="dxa" w:w="1332"/>
            <w:vAlign w:val="top"/>
          </w:tcPr>
          <w:p>
            <w:r>
              <w:rPr>
                <w:sz w:val="14"/>
              </w:rPr>
              <w:t>Key finding</w:t>
            </w:r>
          </w:p>
        </w:tc>
        <w:tc>
          <w:tcPr>
            <w:tcW w:type="dxa" w:w="1332"/>
            <w:vAlign w:val="top"/>
          </w:tcPr>
          <w:p>
            <w:r>
              <w:rPr>
                <w:sz w:val="14"/>
              </w:rPr>
              <w:t>Metric/value</w:t>
            </w:r>
          </w:p>
        </w:tc>
        <w:tc>
          <w:tcPr>
            <w:tcW w:type="dxa" w:w="1332"/>
            <w:vAlign w:val="top"/>
          </w:tcPr>
          <w:p>
            <w:r>
              <w:rPr>
                <w:sz w:val="14"/>
              </w:rPr>
              <w:t>Directionality</w:t>
            </w:r>
          </w:p>
        </w:tc>
        <w:tc>
          <w:tcPr>
            <w:tcW w:type="dxa" w:w="1332"/>
            <w:vAlign w:val="top"/>
          </w:tcPr>
          <w:p>
            <w:r>
              <w:rPr>
                <w:sz w:val="14"/>
              </w:rPr>
              <w:t>PDF section + page</w:t>
            </w:r>
          </w:p>
        </w:tc>
      </w:tr>
      <w:tr>
        <w:tc>
          <w:tcPr>
            <w:tcW w:type="dxa" w:w="1332"/>
            <w:vAlign w:val="top"/>
          </w:tcPr>
          <w:p>
            <w:r>
              <w:rPr>
                <w:sz w:val="14"/>
              </w:rPr>
              <w:t>xu_-ide_2022</w:t>
            </w:r>
          </w:p>
        </w:tc>
        <w:tc>
          <w:tcPr>
            <w:tcW w:type="dxa" w:w="1332"/>
            <w:vAlign w:val="top"/>
          </w:tcPr>
          <w:p>
            <w:r>
              <w:rPr>
                <w:sz w:val="14"/>
              </w:rPr>
              <w:t>2022</w:t>
            </w:r>
          </w:p>
        </w:tc>
        <w:tc>
          <w:tcPr>
            <w:tcW w:type="dxa" w:w="1332"/>
            <w:vAlign w:val="top"/>
          </w:tcPr>
          <w:p>
            <w:r>
              <w:rPr>
                <w:sz w:val="14"/>
              </w:rPr>
              <w:t>A2</w:t>
            </w:r>
          </w:p>
        </w:tc>
        <w:tc>
          <w:tcPr>
            <w:tcW w:type="dxa" w:w="1332"/>
            <w:vAlign w:val="top"/>
          </w:tcPr>
          <w:p>
            <w:r>
              <w:rPr>
                <w:sz w:val="14"/>
              </w:rPr>
              <w:t>SUPPORTING</w:t>
            </w:r>
          </w:p>
        </w:tc>
        <w:tc>
          <w:tcPr>
            <w:tcW w:type="dxa" w:w="1332"/>
            <w:vAlign w:val="top"/>
          </w:tcPr>
          <w:p>
            <w:r>
              <w:rPr>
                <w:sz w:val="14"/>
              </w:rPr>
              <w:t>NL-to-code assistance depended on how developers formulated natural-language requests; the paper reports no significant improvement in completion time, correctness, or quality, while identifying query formulation as a usability barrier.</w:t>
            </w:r>
          </w:p>
        </w:tc>
        <w:tc>
          <w:tcPr>
            <w:tcW w:type="dxa" w:w="1332"/>
            <w:vAlign w:val="top"/>
          </w:tcPr>
          <w:p>
            <w:r>
              <w:rPr>
                <w:sz w:val="14"/>
              </w:rPr>
              <w:t>No statistically significant gains; 27 participants; 397 successful queries</w:t>
            </w:r>
          </w:p>
        </w:tc>
        <w:tc>
          <w:tcPr>
            <w:tcW w:type="dxa" w:w="1332"/>
            <w:vAlign w:val="top"/>
          </w:tcPr>
          <w:p>
            <w:r>
              <w:rPr>
                <w:sz w:val="14"/>
              </w:rPr>
              <w:t>Mixed / sensitivity to formulation</w:t>
            </w:r>
          </w:p>
        </w:tc>
        <w:tc>
          <w:tcPr>
            <w:tcW w:type="dxa" w:w="1332"/>
            <w:vAlign w:val="top"/>
          </w:tcPr>
          <w:p>
            <w:r>
              <w:rPr>
                <w:sz w:val="14"/>
              </w:rPr>
              <w:t>RQ1, RQ2 and Discussion, pp. 8-23</w:t>
            </w:r>
          </w:p>
        </w:tc>
      </w:tr>
      <w:tr>
        <w:tc>
          <w:tcPr>
            <w:tcW w:type="dxa" w:w="1332"/>
            <w:vAlign w:val="top"/>
          </w:tcPr>
          <w:p>
            <w:r>
              <w:rPr>
                <w:sz w:val="14"/>
              </w:rPr>
              <w:t>vaithilingam_expectation_2022</w:t>
            </w:r>
          </w:p>
        </w:tc>
        <w:tc>
          <w:tcPr>
            <w:tcW w:type="dxa" w:w="1332"/>
            <w:vAlign w:val="top"/>
          </w:tcPr>
          <w:p>
            <w:r>
              <w:rPr>
                <w:sz w:val="14"/>
              </w:rPr>
              <w:t>2022</w:t>
            </w:r>
          </w:p>
        </w:tc>
        <w:tc>
          <w:tcPr>
            <w:tcW w:type="dxa" w:w="1332"/>
            <w:vAlign w:val="top"/>
          </w:tcPr>
          <w:p>
            <w:r>
              <w:rPr>
                <w:sz w:val="14"/>
              </w:rPr>
              <w:t>A2</w:t>
            </w:r>
          </w:p>
        </w:tc>
        <w:tc>
          <w:tcPr>
            <w:tcW w:type="dxa" w:w="1332"/>
            <w:vAlign w:val="top"/>
          </w:tcPr>
          <w:p>
            <w:r>
              <w:rPr>
                <w:sz w:val="14"/>
              </w:rPr>
              <w:t>SUPPORTING</w:t>
            </w:r>
          </w:p>
        </w:tc>
        <w:tc>
          <w:tcPr>
            <w:tcW w:type="dxa" w:w="1332"/>
            <w:vAlign w:val="top"/>
          </w:tcPr>
          <w:p>
            <w:r>
              <w:rPr>
                <w:sz w:val="14"/>
              </w:rPr>
              <w:t>Participants prompted Copilot through comments and often used suggestions as starting points, but accepted code could later require understanding, editing, and debugging.</w:t>
            </w:r>
          </w:p>
        </w:tc>
        <w:tc>
          <w:tcPr>
            <w:tcW w:type="dxa" w:w="1332"/>
            <w:vAlign w:val="top"/>
          </w:tcPr>
          <w:p>
            <w:r>
              <w:rPr>
                <w:sz w:val="14"/>
              </w:rPr>
              <w:t>19/24 preferred Copilot; 24-participant within-subjects study</w:t>
            </w:r>
          </w:p>
        </w:tc>
        <w:tc>
          <w:tcPr>
            <w:tcW w:type="dxa" w:w="1332"/>
            <w:vAlign w:val="top"/>
          </w:tcPr>
          <w:p>
            <w:r>
              <w:rPr>
                <w:sz w:val="14"/>
              </w:rPr>
              <w:t>Positive preference with repair burden</w:t>
            </w:r>
          </w:p>
        </w:tc>
        <w:tc>
          <w:tcPr>
            <w:tcW w:type="dxa" w:w="1332"/>
            <w:vAlign w:val="top"/>
          </w:tcPr>
          <w:p>
            <w:r>
              <w:rPr>
                <w:sz w:val="14"/>
              </w:rPr>
              <w:t>Methods, Results and Discussion, pp. 3-6</w:t>
            </w:r>
          </w:p>
        </w:tc>
      </w:tr>
      <w:tr>
        <w:tc>
          <w:tcPr>
            <w:tcW w:type="dxa" w:w="1332"/>
            <w:vAlign w:val="top"/>
          </w:tcPr>
          <w:p>
            <w:r>
              <w:rPr>
                <w:sz w:val="14"/>
              </w:rPr>
              <w:t>mastropaolo_robustness_2023</w:t>
            </w:r>
          </w:p>
        </w:tc>
        <w:tc>
          <w:tcPr>
            <w:tcW w:type="dxa" w:w="1332"/>
            <w:vAlign w:val="top"/>
          </w:tcPr>
          <w:p>
            <w:r>
              <w:rPr>
                <w:sz w:val="14"/>
              </w:rPr>
              <w:t>2023</w:t>
            </w:r>
          </w:p>
        </w:tc>
        <w:tc>
          <w:tcPr>
            <w:tcW w:type="dxa" w:w="1332"/>
            <w:vAlign w:val="top"/>
          </w:tcPr>
          <w:p>
            <w:r>
              <w:rPr>
                <w:sz w:val="14"/>
              </w:rPr>
              <w:t>A2</w:t>
            </w:r>
          </w:p>
        </w:tc>
        <w:tc>
          <w:tcPr>
            <w:tcW w:type="dxa" w:w="1332"/>
            <w:vAlign w:val="top"/>
          </w:tcPr>
          <w:p>
            <w:r>
              <w:rPr>
                <w:sz w:val="14"/>
              </w:rPr>
              <w:t>SUPPORTING</w:t>
            </w:r>
          </w:p>
        </w:tc>
        <w:tc>
          <w:tcPr>
            <w:tcW w:type="dxa" w:w="1332"/>
            <w:vAlign w:val="top"/>
          </w:tcPr>
          <w:p>
            <w:r>
              <w:rPr>
                <w:sz w:val="14"/>
              </w:rPr>
              <w:t>Semantically equivalent paraphrases of method descriptions produced behaviourally different Copilot functions, making prompt wording a robustness issue rather than merely a stylistic concern.</w:t>
            </w:r>
          </w:p>
        </w:tc>
        <w:tc>
          <w:tcPr>
            <w:tcW w:type="dxa" w:w="1332"/>
            <w:vAlign w:val="top"/>
          </w:tcPr>
          <w:p>
            <w:r>
              <w:rPr>
                <w:sz w:val="14"/>
              </w:rPr>
              <w:t>Robustness evaluated with automated paraphrases; up to 77% semantic equivalence in paraphrase generator evaluation</w:t>
            </w:r>
          </w:p>
        </w:tc>
        <w:tc>
          <w:tcPr>
            <w:tcW w:type="dxa" w:w="1332"/>
            <w:vAlign w:val="top"/>
          </w:tcPr>
          <w:p>
            <w:r>
              <w:rPr>
                <w:sz w:val="14"/>
              </w:rPr>
              <w:t>Negative / fragile to paraphrase</w:t>
            </w:r>
          </w:p>
        </w:tc>
        <w:tc>
          <w:tcPr>
            <w:tcW w:type="dxa" w:w="1332"/>
            <w:vAlign w:val="top"/>
          </w:tcPr>
          <w:p>
            <w:r>
              <w:rPr>
                <w:sz w:val="14"/>
              </w:rPr>
              <w:t>RQ0-RQ1 and Results, pp. 4-8</w:t>
            </w:r>
          </w:p>
        </w:tc>
      </w:tr>
      <w:tr>
        <w:tc>
          <w:tcPr>
            <w:tcW w:type="dxa" w:w="1332"/>
            <w:vAlign w:val="top"/>
          </w:tcPr>
          <w:p>
            <w:r>
              <w:rPr>
                <w:sz w:val="14"/>
              </w:rPr>
              <w:t>shirafuji_exploring_2023</w:t>
            </w:r>
          </w:p>
        </w:tc>
        <w:tc>
          <w:tcPr>
            <w:tcW w:type="dxa" w:w="1332"/>
            <w:vAlign w:val="top"/>
          </w:tcPr>
          <w:p>
            <w:r>
              <w:rPr>
                <w:sz w:val="14"/>
              </w:rPr>
              <w:t>2023</w:t>
            </w:r>
          </w:p>
        </w:tc>
        <w:tc>
          <w:tcPr>
            <w:tcW w:type="dxa" w:w="1332"/>
            <w:vAlign w:val="top"/>
          </w:tcPr>
          <w:p>
            <w:r>
              <w:rPr>
                <w:sz w:val="14"/>
              </w:rPr>
              <w:t>A1</w:t>
            </w:r>
          </w:p>
        </w:tc>
        <w:tc>
          <w:tcPr>
            <w:tcW w:type="dxa" w:w="1332"/>
            <w:vAlign w:val="top"/>
          </w:tcPr>
          <w:p>
            <w:r>
              <w:rPr>
                <w:sz w:val="14"/>
              </w:rPr>
              <w:t>SUPPORTING</w:t>
            </w:r>
          </w:p>
        </w:tc>
        <w:tc>
          <w:tcPr>
            <w:tcW w:type="dxa" w:w="1332"/>
            <w:vAlign w:val="top"/>
          </w:tcPr>
          <w:p>
            <w:r>
              <w:rPr>
                <w:sz w:val="14"/>
              </w:rPr>
              <w:t>LLM programming performance changed under superficial modifications of problem descriptions, including formatting and variable-name changes.</w:t>
            </w:r>
          </w:p>
        </w:tc>
        <w:tc>
          <w:tcPr>
            <w:tcW w:type="dxa" w:w="1332"/>
            <w:vAlign w:val="top"/>
          </w:tcPr>
          <w:p>
            <w:r>
              <w:rPr>
                <w:sz w:val="14"/>
              </w:rPr>
              <w:t>Comment-format outputs contained 41.4% comment lines in Codex versus 10.9% under docstring format</w:t>
            </w:r>
          </w:p>
        </w:tc>
        <w:tc>
          <w:tcPr>
            <w:tcW w:type="dxa" w:w="1332"/>
            <w:vAlign w:val="top"/>
          </w:tcPr>
          <w:p>
            <w:r>
              <w:rPr>
                <w:sz w:val="14"/>
              </w:rPr>
              <w:t>Negative / sensitive to presentation</w:t>
            </w:r>
          </w:p>
        </w:tc>
        <w:tc>
          <w:tcPr>
            <w:tcW w:type="dxa" w:w="1332"/>
            <w:vAlign w:val="top"/>
          </w:tcPr>
          <w:p>
            <w:r>
              <w:rPr>
                <w:sz w:val="14"/>
              </w:rPr>
              <w:t>Results and Discussion, pp. 7-12</w:t>
            </w:r>
          </w:p>
        </w:tc>
      </w:tr>
      <w:tr>
        <w:tc>
          <w:tcPr>
            <w:tcW w:type="dxa" w:w="1332"/>
            <w:vAlign w:val="top"/>
          </w:tcPr>
          <w:p>
            <w:r>
              <w:rPr>
                <w:sz w:val="14"/>
              </w:rPr>
              <w:t>imai_is_2022</w:t>
            </w:r>
          </w:p>
        </w:tc>
        <w:tc>
          <w:tcPr>
            <w:tcW w:type="dxa" w:w="1332"/>
            <w:vAlign w:val="top"/>
          </w:tcPr>
          <w:p>
            <w:r>
              <w:rPr>
                <w:sz w:val="14"/>
              </w:rPr>
              <w:t>2022</w:t>
            </w:r>
          </w:p>
        </w:tc>
        <w:tc>
          <w:tcPr>
            <w:tcW w:type="dxa" w:w="1332"/>
            <w:vAlign w:val="top"/>
          </w:tcPr>
          <w:p>
            <w:r>
              <w:rPr>
                <w:sz w:val="14"/>
              </w:rPr>
              <w:t>B</w:t>
            </w:r>
          </w:p>
        </w:tc>
        <w:tc>
          <w:tcPr>
            <w:tcW w:type="dxa" w:w="1332"/>
            <w:vAlign w:val="top"/>
          </w:tcPr>
          <w:p>
            <w:r>
              <w:rPr>
                <w:sz w:val="14"/>
              </w:rPr>
              <w:t>SUPPORTING</w:t>
            </w:r>
          </w:p>
        </w:tc>
        <w:tc>
          <w:tcPr>
            <w:tcW w:type="dxa" w:w="1332"/>
            <w:vAlign w:val="top"/>
          </w:tcPr>
          <w:p>
            <w:r>
              <w:rPr>
                <w:sz w:val="14"/>
              </w:rPr>
              <w:t>Copilot functioned as a weaker substitute for human pair programming: it could accelerate some work but did not reproduce collaborative negotiation and explanation.</w:t>
            </w:r>
          </w:p>
        </w:tc>
        <w:tc>
          <w:tcPr>
            <w:tcW w:type="dxa" w:w="1332"/>
            <w:vAlign w:val="top"/>
          </w:tcPr>
          <w:p>
            <w:r>
              <w:rPr>
                <w:sz w:val="14"/>
              </w:rPr>
              <w:t>Controlled comparison of Copilot and human pair programming</w:t>
            </w:r>
          </w:p>
        </w:tc>
        <w:tc>
          <w:tcPr>
            <w:tcW w:type="dxa" w:w="1332"/>
            <w:vAlign w:val="top"/>
          </w:tcPr>
          <w:p>
            <w:r>
              <w:rPr>
                <w:sz w:val="14"/>
              </w:rPr>
              <w:t>Mixed / assistance without reciprocal dialogue</w:t>
            </w:r>
          </w:p>
        </w:tc>
        <w:tc>
          <w:tcPr>
            <w:tcW w:type="dxa" w:w="1332"/>
            <w:vAlign w:val="top"/>
          </w:tcPr>
          <w:p>
            <w:r>
              <w:rPr>
                <w:sz w:val="14"/>
              </w:rPr>
              <w:t>Results and Discussion, pp. 3-6</w:t>
            </w:r>
          </w:p>
        </w:tc>
      </w:tr>
      <w:tr>
        <w:tc>
          <w:tcPr>
            <w:tcW w:type="dxa" w:w="1332"/>
            <w:vAlign w:val="top"/>
          </w:tcPr>
          <w:p>
            <w:r>
              <w:rPr>
                <w:sz w:val="14"/>
              </w:rPr>
              <w:t>dakhel_github_2023</w:t>
            </w:r>
          </w:p>
        </w:tc>
        <w:tc>
          <w:tcPr>
            <w:tcW w:type="dxa" w:w="1332"/>
            <w:vAlign w:val="top"/>
          </w:tcPr>
          <w:p>
            <w:r>
              <w:rPr>
                <w:sz w:val="14"/>
              </w:rPr>
              <w:t>2023</w:t>
            </w:r>
          </w:p>
        </w:tc>
        <w:tc>
          <w:tcPr>
            <w:tcW w:type="dxa" w:w="1332"/>
            <w:vAlign w:val="top"/>
          </w:tcPr>
          <w:p>
            <w:r>
              <w:rPr>
                <w:sz w:val="14"/>
              </w:rPr>
              <w:t>A2</w:t>
            </w:r>
          </w:p>
        </w:tc>
        <w:tc>
          <w:tcPr>
            <w:tcW w:type="dxa" w:w="1332"/>
            <w:vAlign w:val="top"/>
          </w:tcPr>
          <w:p>
            <w:r>
              <w:rPr>
                <w:sz w:val="14"/>
              </w:rPr>
              <w:t>SUPPORTING</w:t>
            </w:r>
          </w:p>
        </w:tc>
        <w:tc>
          <w:tcPr>
            <w:tcW w:type="dxa" w:w="1332"/>
            <w:vAlign w:val="top"/>
          </w:tcPr>
          <w:p>
            <w:r>
              <w:rPr>
                <w:sz w:val="14"/>
              </w:rPr>
              <w:t>Copilot generated useful code in several settings but its outputs varied by task and required developer inspection rather than uncritical acceptance.</w:t>
            </w:r>
          </w:p>
        </w:tc>
        <w:tc>
          <w:tcPr>
            <w:tcW w:type="dxa" w:w="1332"/>
            <w:vAlign w:val="top"/>
          </w:tcPr>
          <w:p>
            <w:r>
              <w:rPr>
                <w:sz w:val="14"/>
              </w:rPr>
              <w:t>Empirical task-based evaluation across Copilot-generated solutions</w:t>
            </w:r>
          </w:p>
        </w:tc>
        <w:tc>
          <w:tcPr>
            <w:tcW w:type="dxa" w:w="1332"/>
            <w:vAlign w:val="top"/>
          </w:tcPr>
          <w:p>
            <w:r>
              <w:rPr>
                <w:sz w:val="14"/>
              </w:rPr>
              <w:t>Mixed / useful but validation-dependent</w:t>
            </w:r>
          </w:p>
        </w:tc>
        <w:tc>
          <w:tcPr>
            <w:tcW w:type="dxa" w:w="1332"/>
            <w:vAlign w:val="top"/>
          </w:tcPr>
          <w:p>
            <w:r>
              <w:rPr>
                <w:sz w:val="14"/>
              </w:rPr>
              <w:t>Evaluation and Discussion, pp. 4-10</w:t>
            </w:r>
          </w:p>
        </w:tc>
      </w:tr>
      <w:tr>
        <w:tc>
          <w:tcPr>
            <w:tcW w:type="dxa" w:w="1332"/>
            <w:vAlign w:val="top"/>
          </w:tcPr>
          <w:p>
            <w:r>
              <w:rPr>
                <w:sz w:val="14"/>
              </w:rPr>
              <w:t>rahe_how_2025</w:t>
            </w:r>
          </w:p>
        </w:tc>
        <w:tc>
          <w:tcPr>
            <w:tcW w:type="dxa" w:w="1332"/>
            <w:vAlign w:val="top"/>
          </w:tcPr>
          <w:p>
            <w:r>
              <w:rPr>
                <w:sz w:val="14"/>
              </w:rPr>
              <w:t>2025</w:t>
            </w:r>
          </w:p>
        </w:tc>
        <w:tc>
          <w:tcPr>
            <w:tcW w:type="dxa" w:w="1332"/>
            <w:vAlign w:val="top"/>
          </w:tcPr>
          <w:p>
            <w:r>
              <w:rPr>
                <w:sz w:val="14"/>
              </w:rPr>
              <w:t>A1</w:t>
            </w:r>
          </w:p>
        </w:tc>
        <w:tc>
          <w:tcPr>
            <w:tcW w:type="dxa" w:w="1332"/>
            <w:vAlign w:val="top"/>
          </w:tcPr>
          <w:p>
            <w:r>
              <w:rPr>
                <w:sz w:val="14"/>
              </w:rPr>
              <w:t>SUPPORTING</w:t>
            </w:r>
          </w:p>
        </w:tc>
        <w:tc>
          <w:tcPr>
            <w:tcW w:type="dxa" w:w="1332"/>
            <w:vAlign w:val="top"/>
          </w:tcPr>
          <w:p>
            <w:r>
              <w:rPr>
                <w:sz w:val="14"/>
              </w:rPr>
              <w:t>Students used generative AI through iterative prompting, explanation requests, and debugging support, showing that effective interaction depends on prompting literacy and task framing.</w:t>
            </w:r>
          </w:p>
        </w:tc>
        <w:tc>
          <w:tcPr>
            <w:tcW w:type="dxa" w:w="1332"/>
            <w:vAlign w:val="top"/>
          </w:tcPr>
          <w:p>
            <w:r>
              <w:rPr>
                <w:sz w:val="14"/>
              </w:rPr>
              <w:t>Observed student use of ChatGPT/GPT-3.5 in programming tasks</w:t>
            </w:r>
          </w:p>
        </w:tc>
        <w:tc>
          <w:tcPr>
            <w:tcW w:type="dxa" w:w="1332"/>
            <w:vAlign w:val="top"/>
          </w:tcPr>
          <w:p>
            <w:r>
              <w:rPr>
                <w:sz w:val="14"/>
              </w:rPr>
              <w:t>Positive with skill dependency</w:t>
            </w:r>
          </w:p>
        </w:tc>
        <w:tc>
          <w:tcPr>
            <w:tcW w:type="dxa" w:w="1332"/>
            <w:vAlign w:val="top"/>
          </w:tcPr>
          <w:p>
            <w:r>
              <w:rPr>
                <w:sz w:val="14"/>
              </w:rPr>
              <w:t>Findings and Discussion, pp. 8-18</w:t>
            </w:r>
          </w:p>
        </w:tc>
      </w:tr>
      <w:tr>
        <w:tc>
          <w:tcPr>
            <w:tcW w:type="dxa" w:w="1332"/>
            <w:vAlign w:val="top"/>
          </w:tcPr>
          <w:p>
            <w:r>
              <w:rPr>
                <w:sz w:val="14"/>
              </w:rPr>
              <w:t>fayed_prompt-driven_2026</w:t>
            </w:r>
          </w:p>
        </w:tc>
        <w:tc>
          <w:tcPr>
            <w:tcW w:type="dxa" w:w="1332"/>
            <w:vAlign w:val="top"/>
          </w:tcPr>
          <w:p>
            <w:r>
              <w:rPr>
                <w:sz w:val="14"/>
              </w:rPr>
              <w:t>2026</w:t>
            </w:r>
          </w:p>
        </w:tc>
        <w:tc>
          <w:tcPr>
            <w:tcW w:type="dxa" w:w="1332"/>
            <w:vAlign w:val="top"/>
          </w:tcPr>
          <w:p>
            <w:r>
              <w:rPr>
                <w:sz w:val="14"/>
              </w:rPr>
              <w:t>A2</w:t>
            </w:r>
          </w:p>
        </w:tc>
        <w:tc>
          <w:tcPr>
            <w:tcW w:type="dxa" w:w="1332"/>
            <w:vAlign w:val="top"/>
          </w:tcPr>
          <w:p>
            <w:r>
              <w:rPr>
                <w:sz w:val="14"/>
              </w:rPr>
              <w:t>SUPPORTING</w:t>
            </w:r>
          </w:p>
        </w:tc>
        <w:tc>
          <w:tcPr>
            <w:tcW w:type="dxa" w:w="1332"/>
            <w:vAlign w:val="top"/>
          </w:tcPr>
          <w:p>
            <w:r>
              <w:rPr>
                <w:sz w:val="14"/>
              </w:rPr>
              <w:t>Prompt-driven development was organised as iterative specification, generation, review, and refinement rather than single-shot generation.</w:t>
            </w:r>
          </w:p>
        </w:tc>
        <w:tc>
          <w:tcPr>
            <w:tcW w:type="dxa" w:w="1332"/>
            <w:vAlign w:val="top"/>
          </w:tcPr>
          <w:p>
            <w:r>
              <w:rPr>
                <w:sz w:val="14"/>
              </w:rPr>
              <w:t>Qualitative case study developing a TUI framework with Claude Code</w:t>
            </w:r>
          </w:p>
        </w:tc>
        <w:tc>
          <w:tcPr>
            <w:tcW w:type="dxa" w:w="1332"/>
            <w:vAlign w:val="top"/>
          </w:tcPr>
          <w:p>
            <w:r>
              <w:rPr>
                <w:sz w:val="14"/>
              </w:rPr>
              <w:t>Positive / process-oriented</w:t>
            </w:r>
          </w:p>
        </w:tc>
        <w:tc>
          <w:tcPr>
            <w:tcW w:type="dxa" w:w="1332"/>
            <w:vAlign w:val="top"/>
          </w:tcPr>
          <w:p>
            <w:r>
              <w:rPr>
                <w:sz w:val="14"/>
              </w:rPr>
              <w:t>Case Study Results and Discussion, pp. 6-15</w:t>
            </w:r>
          </w:p>
        </w:tc>
      </w:tr>
      <w:tr>
        <w:tc>
          <w:tcPr>
            <w:tcW w:type="dxa" w:w="1332"/>
            <w:vAlign w:val="top"/>
          </w:tcPr>
          <w:p>
            <w:r>
              <w:rPr>
                <w:sz w:val="14"/>
              </w:rPr>
              <w:t>li_prompting_2024</w:t>
            </w:r>
          </w:p>
        </w:tc>
        <w:tc>
          <w:tcPr>
            <w:tcW w:type="dxa" w:w="1332"/>
            <w:vAlign w:val="top"/>
          </w:tcPr>
          <w:p>
            <w:r>
              <w:rPr>
                <w:sz w:val="14"/>
              </w:rPr>
              <w:t>2024</w:t>
            </w:r>
          </w:p>
        </w:tc>
        <w:tc>
          <w:tcPr>
            <w:tcW w:type="dxa" w:w="1332"/>
            <w:vAlign w:val="top"/>
          </w:tcPr>
          <w:p>
            <w:r>
              <w:rPr>
                <w:sz w:val="14"/>
              </w:rPr>
              <w:t>A1</w:t>
            </w:r>
          </w:p>
        </w:tc>
        <w:tc>
          <w:tcPr>
            <w:tcW w:type="dxa" w:w="1332"/>
            <w:vAlign w:val="top"/>
          </w:tcPr>
          <w:p>
            <w:r>
              <w:rPr>
                <w:sz w:val="14"/>
              </w:rPr>
              <w:t>SUPPORTING</w:t>
            </w:r>
          </w:p>
        </w:tc>
        <w:tc>
          <w:tcPr>
            <w:tcW w:type="dxa" w:w="1332"/>
            <w:vAlign w:val="top"/>
          </w:tcPr>
          <w:p>
            <w:r>
              <w:rPr>
                <w:sz w:val="14"/>
              </w:rPr>
              <w:t>Full-SDLC prompting required task-specific prompts across requirements, design, coding, testing, and documentation, indicating that prompt strategy must change with lifecycle phase.</w:t>
            </w:r>
          </w:p>
        </w:tc>
        <w:tc>
          <w:tcPr>
            <w:tcW w:type="dxa" w:w="1332"/>
            <w:vAlign w:val="top"/>
          </w:tcPr>
          <w:p>
            <w:r>
              <w:rPr>
                <w:sz w:val="14"/>
              </w:rPr>
              <w:t>Case study of GPT-4 across full software development lifecycle</w:t>
            </w:r>
          </w:p>
        </w:tc>
        <w:tc>
          <w:tcPr>
            <w:tcW w:type="dxa" w:w="1332"/>
            <w:vAlign w:val="top"/>
          </w:tcPr>
          <w:p>
            <w:r>
              <w:rPr>
                <w:sz w:val="14"/>
              </w:rPr>
              <w:t>Positive / phase-specific prompting</w:t>
            </w:r>
          </w:p>
        </w:tc>
        <w:tc>
          <w:tcPr>
            <w:tcW w:type="dxa" w:w="1332"/>
            <w:vAlign w:val="top"/>
          </w:tcPr>
          <w:p>
            <w:r>
              <w:rPr>
                <w:sz w:val="14"/>
              </w:rPr>
              <w:t>Results and Evaluation, pp. 5-13</w:t>
            </w:r>
          </w:p>
        </w:tc>
      </w:tr>
      <w:tr>
        <w:tc>
          <w:tcPr>
            <w:tcW w:type="dxa" w:w="1332"/>
            <w:vAlign w:val="top"/>
          </w:tcPr>
          <w:p>
            <w:r>
              <w:rPr>
                <w:sz w:val="14"/>
              </w:rPr>
              <w:t>jiang_simcopilot_2025</w:t>
            </w:r>
          </w:p>
        </w:tc>
        <w:tc>
          <w:tcPr>
            <w:tcW w:type="dxa" w:w="1332"/>
            <w:vAlign w:val="top"/>
          </w:tcPr>
          <w:p>
            <w:r>
              <w:rPr>
                <w:sz w:val="14"/>
              </w:rPr>
              <w:t>2025</w:t>
            </w:r>
          </w:p>
        </w:tc>
        <w:tc>
          <w:tcPr>
            <w:tcW w:type="dxa" w:w="1332"/>
            <w:vAlign w:val="top"/>
          </w:tcPr>
          <w:p>
            <w:r>
              <w:rPr>
                <w:sz w:val="14"/>
              </w:rPr>
              <w:t>A1</w:t>
            </w:r>
          </w:p>
        </w:tc>
        <w:tc>
          <w:tcPr>
            <w:tcW w:type="dxa" w:w="1332"/>
            <w:vAlign w:val="top"/>
          </w:tcPr>
          <w:p>
            <w:r>
              <w:rPr>
                <w:sz w:val="14"/>
              </w:rPr>
              <w:t>SUPPORTING</w:t>
            </w:r>
          </w:p>
        </w:tc>
        <w:tc>
          <w:tcPr>
            <w:tcW w:type="dxa" w:w="1332"/>
            <w:vAlign w:val="top"/>
          </w:tcPr>
          <w:p>
            <w:r>
              <w:rPr>
                <w:sz w:val="14"/>
              </w:rPr>
              <w:t>Copilot-style code generation performance depends on the simulated completion context supplied to the model, making prompt/context construction central to evaluation.</w:t>
            </w:r>
          </w:p>
        </w:tc>
        <w:tc>
          <w:tcPr>
            <w:tcW w:type="dxa" w:w="1332"/>
            <w:vAlign w:val="top"/>
          </w:tcPr>
          <w:p>
            <w:r>
              <w:rPr>
                <w:sz w:val="14"/>
              </w:rPr>
              <w:t>Benchmark evaluation of multiple LLMs under Copilot-style contexts</w:t>
            </w:r>
          </w:p>
        </w:tc>
        <w:tc>
          <w:tcPr>
            <w:tcW w:type="dxa" w:w="1332"/>
            <w:vAlign w:val="top"/>
          </w:tcPr>
          <w:p>
            <w:r>
              <w:rPr>
                <w:sz w:val="14"/>
              </w:rPr>
              <w:t>Mixed / context-sensitive</w:t>
            </w:r>
          </w:p>
        </w:tc>
        <w:tc>
          <w:tcPr>
            <w:tcW w:type="dxa" w:w="1332"/>
            <w:vAlign w:val="top"/>
          </w:tcPr>
          <w:p>
            <w:r>
              <w:rPr>
                <w:sz w:val="14"/>
              </w:rPr>
              <w:t>Evaluation and Results, pp. 4-9</w:t>
            </w:r>
          </w:p>
        </w:tc>
      </w:tr>
      <w:tr>
        <w:tc>
          <w:tcPr>
            <w:tcW w:type="dxa" w:w="1332"/>
            <w:vAlign w:val="top"/>
          </w:tcPr>
          <w:p>
            <w:r>
              <w:rPr>
                <w:sz w:val="14"/>
              </w:rPr>
              <w:t>jin_can_2024</w:t>
            </w:r>
          </w:p>
        </w:tc>
        <w:tc>
          <w:tcPr>
            <w:tcW w:type="dxa" w:w="1332"/>
            <w:vAlign w:val="top"/>
          </w:tcPr>
          <w:p>
            <w:r>
              <w:rPr>
                <w:sz w:val="14"/>
              </w:rPr>
              <w:t>2024</w:t>
            </w:r>
          </w:p>
        </w:tc>
        <w:tc>
          <w:tcPr>
            <w:tcW w:type="dxa" w:w="1332"/>
            <w:vAlign w:val="top"/>
          </w:tcPr>
          <w:p>
            <w:r>
              <w:rPr>
                <w:sz w:val="14"/>
              </w:rPr>
              <w:t>A1</w:t>
            </w:r>
          </w:p>
        </w:tc>
        <w:tc>
          <w:tcPr>
            <w:tcW w:type="dxa" w:w="1332"/>
            <w:vAlign w:val="top"/>
          </w:tcPr>
          <w:p>
            <w:r>
              <w:rPr>
                <w:sz w:val="14"/>
              </w:rPr>
              <w:t>SUPPORTING</w:t>
            </w:r>
          </w:p>
        </w:tc>
        <w:tc>
          <w:tcPr>
            <w:tcW w:type="dxa" w:w="1332"/>
            <w:vAlign w:val="top"/>
          </w:tcPr>
          <w:p>
            <w:r>
              <w:rPr>
                <w:sz w:val="14"/>
              </w:rPr>
              <w:t>ChatGPT support for code generation was uneven across tasks, so developers need to refine prompts and inspect outputs instead of treating the first answer as authoritative.</w:t>
            </w:r>
          </w:p>
        </w:tc>
        <w:tc>
          <w:tcPr>
            <w:tcW w:type="dxa" w:w="1332"/>
            <w:vAlign w:val="top"/>
          </w:tcPr>
          <w:p>
            <w:r>
              <w:rPr>
                <w:sz w:val="14"/>
              </w:rPr>
              <w:t>Empirical MSR evaluation of ChatGPT for code generation</w:t>
            </w:r>
          </w:p>
        </w:tc>
        <w:tc>
          <w:tcPr>
            <w:tcW w:type="dxa" w:w="1332"/>
            <w:vAlign w:val="top"/>
          </w:tcPr>
          <w:p>
            <w:r>
              <w:rPr>
                <w:sz w:val="14"/>
              </w:rPr>
              <w:t>Mixed / task-dependent</w:t>
            </w:r>
          </w:p>
        </w:tc>
        <w:tc>
          <w:tcPr>
            <w:tcW w:type="dxa" w:w="1332"/>
            <w:vAlign w:val="top"/>
          </w:tcPr>
          <w:p>
            <w:r>
              <w:rPr>
                <w:sz w:val="14"/>
              </w:rPr>
              <w:t>Results and Discussion, pp. 5-10</w:t>
            </w:r>
          </w:p>
        </w:tc>
      </w:tr>
      <w:tr>
        <w:tc>
          <w:tcPr>
            <w:tcW w:type="dxa" w:w="1332"/>
            <w:vAlign w:val="top"/>
          </w:tcPr>
          <w:p>
            <w:r>
              <w:rPr>
                <w:sz w:val="14"/>
              </w:rPr>
              <w:t>mendes_youre_2024</w:t>
            </w:r>
          </w:p>
        </w:tc>
        <w:tc>
          <w:tcPr>
            <w:tcW w:type="dxa" w:w="1332"/>
            <w:vAlign w:val="top"/>
          </w:tcPr>
          <w:p>
            <w:r>
              <w:rPr>
                <w:sz w:val="14"/>
              </w:rPr>
              <w:t>2024</w:t>
            </w:r>
          </w:p>
        </w:tc>
        <w:tc>
          <w:tcPr>
            <w:tcW w:type="dxa" w:w="1332"/>
            <w:vAlign w:val="top"/>
          </w:tcPr>
          <w:p>
            <w:r>
              <w:rPr>
                <w:sz w:val="14"/>
              </w:rPr>
              <w:t>A2</w:t>
            </w:r>
          </w:p>
        </w:tc>
        <w:tc>
          <w:tcPr>
            <w:tcW w:type="dxa" w:w="1332"/>
            <w:vAlign w:val="top"/>
          </w:tcPr>
          <w:p>
            <w:r>
              <w:rPr>
                <w:sz w:val="14"/>
              </w:rPr>
              <w:t>SUPPORTING</w:t>
            </w:r>
          </w:p>
        </w:tc>
        <w:tc>
          <w:tcPr>
            <w:tcW w:type="dxa" w:w="1332"/>
            <w:vAlign w:val="top"/>
          </w:tcPr>
          <w:p>
            <w:r>
              <w:rPr>
                <w:sz w:val="14"/>
              </w:rPr>
              <w:t>Practitioners described AI assistants as accelerators that still require steering, review, and correction, framing prompting as part of an active collaboration.</w:t>
            </w:r>
          </w:p>
        </w:tc>
        <w:tc>
          <w:tcPr>
            <w:tcW w:type="dxa" w:w="1332"/>
            <w:vAlign w:val="top"/>
          </w:tcPr>
          <w:p>
            <w:r>
              <w:rPr>
                <w:sz w:val="14"/>
              </w:rPr>
              <w:t>Qualitative study of benefits and challenges of AI code assistants</w:t>
            </w:r>
          </w:p>
        </w:tc>
        <w:tc>
          <w:tcPr>
            <w:tcW w:type="dxa" w:w="1332"/>
            <w:vAlign w:val="top"/>
          </w:tcPr>
          <w:p>
            <w:r>
              <w:rPr>
                <w:sz w:val="14"/>
              </w:rPr>
              <w:t>Positive but oversight-dependent</w:t>
            </w:r>
          </w:p>
        </w:tc>
        <w:tc>
          <w:tcPr>
            <w:tcW w:type="dxa" w:w="1332"/>
            <w:vAlign w:val="top"/>
          </w:tcPr>
          <w:p>
            <w:r>
              <w:rPr>
                <w:sz w:val="14"/>
              </w:rPr>
              <w:t>Findings and Discussion, pp. 4-9</w:t>
            </w:r>
          </w:p>
        </w:tc>
      </w:tr>
      <w:tr>
        <w:tc>
          <w:tcPr>
            <w:tcW w:type="dxa" w:w="1332"/>
            <w:vAlign w:val="top"/>
          </w:tcPr>
          <w:p>
            <w:r>
              <w:rPr>
                <w:sz w:val="14"/>
              </w:rPr>
              <w:t>waseem_chatgpt_2024</w:t>
            </w:r>
          </w:p>
        </w:tc>
        <w:tc>
          <w:tcPr>
            <w:tcW w:type="dxa" w:w="1332"/>
            <w:vAlign w:val="top"/>
          </w:tcPr>
          <w:p>
            <w:r>
              <w:rPr>
                <w:sz w:val="14"/>
              </w:rPr>
              <w:t>2024</w:t>
            </w:r>
          </w:p>
        </w:tc>
        <w:tc>
          <w:tcPr>
            <w:tcW w:type="dxa" w:w="1332"/>
            <w:vAlign w:val="top"/>
          </w:tcPr>
          <w:p>
            <w:r>
              <w:rPr>
                <w:sz w:val="14"/>
              </w:rPr>
              <w:t>A2</w:t>
            </w:r>
          </w:p>
        </w:tc>
        <w:tc>
          <w:tcPr>
            <w:tcW w:type="dxa" w:w="1332"/>
            <w:vAlign w:val="top"/>
          </w:tcPr>
          <w:p>
            <w:r>
              <w:rPr>
                <w:sz w:val="14"/>
              </w:rPr>
              <w:t>SUPPORTING</w:t>
            </w:r>
          </w:p>
        </w:tc>
        <w:tc>
          <w:tcPr>
            <w:tcW w:type="dxa" w:w="1332"/>
            <w:vAlign w:val="top"/>
          </w:tcPr>
          <w:p>
            <w:r>
              <w:rPr>
                <w:sz w:val="14"/>
              </w:rPr>
              <w:t>Project-based ChatGPT use relied on conversational decomposition and iterative exchanges; the bot supported development but needed human steering and verification.</w:t>
            </w:r>
          </w:p>
        </w:tc>
        <w:tc>
          <w:tcPr>
            <w:tcW w:type="dxa" w:w="1332"/>
            <w:vAlign w:val="top"/>
          </w:tcPr>
          <w:p>
            <w:r>
              <w:rPr>
                <w:sz w:val="14"/>
              </w:rPr>
              <w:t>Project-based study using ChatGPT/GPT-4/GPT-3.5</w:t>
            </w:r>
          </w:p>
        </w:tc>
        <w:tc>
          <w:tcPr>
            <w:tcW w:type="dxa" w:w="1332"/>
            <w:vAlign w:val="top"/>
          </w:tcPr>
          <w:p>
            <w:r>
              <w:rPr>
                <w:sz w:val="14"/>
              </w:rPr>
              <w:t>Mixed / conversationally useful</w:t>
            </w:r>
          </w:p>
        </w:tc>
        <w:tc>
          <w:tcPr>
            <w:tcW w:type="dxa" w:w="1332"/>
            <w:vAlign w:val="top"/>
          </w:tcPr>
          <w:p>
            <w:r>
              <w:rPr>
                <w:sz w:val="14"/>
              </w:rPr>
              <w:t>Results and Discussion, pp. 6-14</w:t>
            </w:r>
          </w:p>
        </w:tc>
      </w:tr>
      <w:tr>
        <w:tc>
          <w:tcPr>
            <w:tcW w:type="dxa" w:w="1332"/>
            <w:vAlign w:val="top"/>
          </w:tcPr>
          <w:p>
            <w:r>
              <w:rPr>
                <w:sz w:val="14"/>
              </w:rPr>
              <w:t>eibl_exploring_2025</w:t>
            </w:r>
          </w:p>
        </w:tc>
        <w:tc>
          <w:tcPr>
            <w:tcW w:type="dxa" w:w="1332"/>
            <w:vAlign w:val="top"/>
          </w:tcPr>
          <w:p>
            <w:r>
              <w:rPr>
                <w:sz w:val="14"/>
              </w:rPr>
              <w:t>2025</w:t>
            </w:r>
          </w:p>
        </w:tc>
        <w:tc>
          <w:tcPr>
            <w:tcW w:type="dxa" w:w="1332"/>
            <w:vAlign w:val="top"/>
          </w:tcPr>
          <w:p>
            <w:r>
              <w:rPr>
                <w:sz w:val="14"/>
              </w:rPr>
              <w:t>A2</w:t>
            </w:r>
          </w:p>
        </w:tc>
        <w:tc>
          <w:tcPr>
            <w:tcW w:type="dxa" w:w="1332"/>
            <w:vAlign w:val="top"/>
          </w:tcPr>
          <w:p>
            <w:r>
              <w:rPr>
                <w:sz w:val="14"/>
              </w:rPr>
              <w:t>SUPPORTING</w:t>
            </w:r>
          </w:p>
        </w:tc>
        <w:tc>
          <w:tcPr>
            <w:tcW w:type="dxa" w:w="1332"/>
            <w:vAlign w:val="top"/>
          </w:tcPr>
          <w:p>
            <w:r>
              <w:rPr>
                <w:sz w:val="14"/>
              </w:rPr>
              <w:t>AI-assisted codebase generation exposed difficulties in communicating architecture-level intent, so prompts had to be refined as project context accumulated.</w:t>
            </w:r>
          </w:p>
        </w:tc>
        <w:tc>
          <w:tcPr>
            <w:tcW w:type="dxa" w:w="1332"/>
            <w:vAlign w:val="top"/>
          </w:tcPr>
          <w:p>
            <w:r>
              <w:rPr>
                <w:sz w:val="14"/>
              </w:rPr>
              <w:t>Exploratory study of AI-assisted codebase generation</w:t>
            </w:r>
          </w:p>
        </w:tc>
        <w:tc>
          <w:tcPr>
            <w:tcW w:type="dxa" w:w="1332"/>
            <w:vAlign w:val="top"/>
          </w:tcPr>
          <w:p>
            <w:r>
              <w:rPr>
                <w:sz w:val="14"/>
              </w:rPr>
              <w:t>Mixed / prompt-context accumulation</w:t>
            </w:r>
          </w:p>
        </w:tc>
        <w:tc>
          <w:tcPr>
            <w:tcW w:type="dxa" w:w="1332"/>
            <w:vAlign w:val="top"/>
          </w:tcPr>
          <w:p>
            <w:r>
              <w:rPr>
                <w:sz w:val="14"/>
              </w:rPr>
              <w:t>Results and Discussion, pp. 5-12</w:t>
            </w:r>
          </w:p>
        </w:tc>
      </w:tr>
      <w:tr>
        <w:tc>
          <w:tcPr>
            <w:tcW w:type="dxa" w:w="1332"/>
            <w:vAlign w:val="top"/>
          </w:tcPr>
          <w:p>
            <w:r>
              <w:rPr>
                <w:sz w:val="14"/>
              </w:rPr>
              <w:t>sagodi_methodology_2024</w:t>
            </w:r>
          </w:p>
        </w:tc>
        <w:tc>
          <w:tcPr>
            <w:tcW w:type="dxa" w:w="1332"/>
            <w:vAlign w:val="top"/>
          </w:tcPr>
          <w:p>
            <w:r>
              <w:rPr>
                <w:sz w:val="14"/>
              </w:rPr>
              <w:t>2024</w:t>
            </w:r>
          </w:p>
        </w:tc>
        <w:tc>
          <w:tcPr>
            <w:tcW w:type="dxa" w:w="1332"/>
            <w:vAlign w:val="top"/>
          </w:tcPr>
          <w:p>
            <w:r>
              <w:rPr>
                <w:sz w:val="14"/>
              </w:rPr>
              <w:t>A2</w:t>
            </w:r>
          </w:p>
        </w:tc>
        <w:tc>
          <w:tcPr>
            <w:tcW w:type="dxa" w:w="1332"/>
            <w:vAlign w:val="top"/>
          </w:tcPr>
          <w:p>
            <w:r>
              <w:rPr>
                <w:sz w:val="14"/>
              </w:rPr>
              <w:t>SUPPORTING</w:t>
            </w:r>
          </w:p>
        </w:tc>
        <w:tc>
          <w:tcPr>
            <w:tcW w:type="dxa" w:w="1332"/>
            <w:vAlign w:val="top"/>
          </w:tcPr>
          <w:p>
            <w:r>
              <w:rPr>
                <w:sz w:val="14"/>
              </w:rPr>
              <w:t>Prompt wording and evaluation protocol must be controlled when comparing ChatGPT and Copilot, because code synthesis results depend on input specification.</w:t>
            </w:r>
          </w:p>
        </w:tc>
        <w:tc>
          <w:tcPr>
            <w:tcW w:type="dxa" w:w="1332"/>
            <w:vAlign w:val="top"/>
          </w:tcPr>
          <w:p>
            <w:r>
              <w:rPr>
                <w:sz w:val="14"/>
              </w:rPr>
              <w:t>Methodology and case study of ChatGPT/Copilot code synthesis evaluation</w:t>
            </w:r>
          </w:p>
        </w:tc>
        <w:tc>
          <w:tcPr>
            <w:tcW w:type="dxa" w:w="1332"/>
            <w:vAlign w:val="top"/>
          </w:tcPr>
          <w:p>
            <w:r>
              <w:rPr>
                <w:sz w:val="14"/>
              </w:rPr>
              <w:t>Neutral / methodological control</w:t>
            </w:r>
          </w:p>
        </w:tc>
        <w:tc>
          <w:tcPr>
            <w:tcW w:type="dxa" w:w="1332"/>
            <w:vAlign w:val="top"/>
          </w:tcPr>
          <w:p>
            <w:r>
              <w:rPr>
                <w:sz w:val="14"/>
              </w:rPr>
              <w:t>Methodology, Case Study and Discussion, pp. 3-12</w:t>
            </w:r>
          </w:p>
        </w:tc>
      </w:tr>
      <w:tr>
        <w:tc>
          <w:tcPr>
            <w:tcW w:type="dxa" w:w="1332"/>
            <w:vAlign w:val="top"/>
          </w:tcPr>
          <w:p>
            <w:r>
              <w:rPr>
                <w:sz w:val="14"/>
              </w:rPr>
              <w:t>ceran_security_2025</w:t>
            </w:r>
          </w:p>
        </w:tc>
        <w:tc>
          <w:tcPr>
            <w:tcW w:type="dxa" w:w="1332"/>
            <w:vAlign w:val="top"/>
          </w:tcPr>
          <w:p>
            <w:r>
              <w:rPr>
                <w:sz w:val="14"/>
              </w:rPr>
              <w:t>2025</w:t>
            </w:r>
          </w:p>
        </w:tc>
        <w:tc>
          <w:tcPr>
            <w:tcW w:type="dxa" w:w="1332"/>
            <w:vAlign w:val="top"/>
          </w:tcPr>
          <w:p>
            <w:r>
              <w:rPr>
                <w:sz w:val="14"/>
              </w:rPr>
              <w:t>A1</w:t>
            </w:r>
          </w:p>
        </w:tc>
        <w:tc>
          <w:tcPr>
            <w:tcW w:type="dxa" w:w="1332"/>
            <w:vAlign w:val="top"/>
          </w:tcPr>
          <w:p>
            <w:r>
              <w:rPr>
                <w:sz w:val="14"/>
              </w:rPr>
              <w:t>SUPPORTING</w:t>
            </w:r>
          </w:p>
        </w:tc>
        <w:tc>
          <w:tcPr>
            <w:tcW w:type="dxa" w:w="1332"/>
            <w:vAlign w:val="top"/>
          </w:tcPr>
          <w:p>
            <w:r>
              <w:rPr>
                <w:sz w:val="14"/>
              </w:rPr>
              <w:t>Generic security prompts were insufficient; the paper argues for specific secure-by-design and OWASP-oriented prompts when generating security-relevant code.</w:t>
            </w:r>
          </w:p>
        </w:tc>
        <w:tc>
          <w:tcPr>
            <w:tcW w:type="dxa" w:w="1332"/>
            <w:vAlign w:val="top"/>
          </w:tcPr>
          <w:p>
            <w:r>
              <w:rPr>
                <w:sz w:val="14"/>
              </w:rPr>
              <w:t>Static and dynamic analysis of ChatGPT, Copilot and Gemini outputs</w:t>
            </w:r>
          </w:p>
        </w:tc>
        <w:tc>
          <w:tcPr>
            <w:tcW w:type="dxa" w:w="1332"/>
            <w:vAlign w:val="top"/>
          </w:tcPr>
          <w:p>
            <w:r>
              <w:rPr>
                <w:sz w:val="14"/>
              </w:rPr>
              <w:t>Negative / generic prompts insufficient</w:t>
            </w:r>
          </w:p>
        </w:tc>
        <w:tc>
          <w:tcPr>
            <w:tcW w:type="dxa" w:w="1332"/>
            <w:vAlign w:val="top"/>
          </w:tcPr>
          <w:p>
            <w:r>
              <w:rPr>
                <w:sz w:val="14"/>
              </w:rPr>
              <w:t>Results and Discussion, pp. 6-10</w:t>
            </w:r>
          </w:p>
        </w:tc>
      </w:tr>
      <w:tr>
        <w:tc>
          <w:tcPr>
            <w:tcW w:type="dxa" w:w="1332"/>
            <w:vAlign w:val="top"/>
          </w:tcPr>
          <w:p>
            <w:r>
              <w:rPr>
                <w:sz w:val="14"/>
              </w:rPr>
              <w:t>qianyi_systematic_2024</w:t>
            </w:r>
          </w:p>
        </w:tc>
        <w:tc>
          <w:tcPr>
            <w:tcW w:type="dxa" w:w="1332"/>
            <w:vAlign w:val="top"/>
          </w:tcPr>
          <w:p>
            <w:r>
              <w:rPr>
                <w:sz w:val="14"/>
              </w:rPr>
              <w:t>2024</w:t>
            </w:r>
          </w:p>
        </w:tc>
        <w:tc>
          <w:tcPr>
            <w:tcW w:type="dxa" w:w="1332"/>
            <w:vAlign w:val="top"/>
          </w:tcPr>
          <w:p>
            <w:r>
              <w:rPr>
                <w:sz w:val="14"/>
              </w:rPr>
              <w:t>B</w:t>
            </w:r>
          </w:p>
        </w:tc>
        <w:tc>
          <w:tcPr>
            <w:tcW w:type="dxa" w:w="1332"/>
            <w:vAlign w:val="top"/>
          </w:tcPr>
          <w:p>
            <w:r>
              <w:rPr>
                <w:sz w:val="14"/>
              </w:rPr>
              <w:t>SUPPORTING</w:t>
            </w:r>
          </w:p>
        </w:tc>
        <w:tc>
          <w:tcPr>
            <w:tcW w:type="dxa" w:w="1332"/>
            <w:vAlign w:val="top"/>
          </w:tcPr>
          <w:p>
            <w:r>
              <w:rPr>
                <w:sz w:val="14"/>
              </w:rPr>
              <w:t>Using identical prompts enabled comparison across assistants, but results diverged substantially, showing that prompt standardisation does not eliminate tool-specific output variation.</w:t>
            </w:r>
          </w:p>
        </w:tc>
        <w:tc>
          <w:tcPr>
            <w:tcW w:type="dxa" w:w="1332"/>
            <w:vAlign w:val="top"/>
          </w:tcPr>
          <w:p>
            <w:r>
              <w:rPr>
                <w:sz w:val="14"/>
              </w:rPr>
              <w:t>Copilot correctness 42%; ChatGPT McCabe complexity 2.92</w:t>
            </w:r>
          </w:p>
        </w:tc>
        <w:tc>
          <w:tcPr>
            <w:tcW w:type="dxa" w:w="1332"/>
            <w:vAlign w:val="top"/>
          </w:tcPr>
          <w:p>
            <w:r>
              <w:rPr>
                <w:sz w:val="14"/>
              </w:rPr>
              <w:t>Mixed / standardised prompts still variable</w:t>
            </w:r>
          </w:p>
        </w:tc>
        <w:tc>
          <w:tcPr>
            <w:tcW w:type="dxa" w:w="1332"/>
            <w:vAlign w:val="top"/>
          </w:tcPr>
          <w:p>
            <w:r>
              <w:rPr>
                <w:sz w:val="14"/>
              </w:rPr>
              <w:t>Results and Discussion, pp. 5-9</w:t>
            </w:r>
          </w:p>
        </w:tc>
      </w:tr>
      <w:tr>
        <w:tc>
          <w:tcPr>
            <w:tcW w:type="dxa" w:w="1332"/>
            <w:vAlign w:val="top"/>
          </w:tcPr>
          <w:p>
            <w:r>
              <w:rPr>
                <w:sz w:val="14"/>
              </w:rPr>
              <w:t>zhong_impossiblebench_2025</w:t>
            </w:r>
          </w:p>
        </w:tc>
        <w:tc>
          <w:tcPr>
            <w:tcW w:type="dxa" w:w="1332"/>
            <w:vAlign w:val="top"/>
          </w:tcPr>
          <w:p>
            <w:r>
              <w:rPr>
                <w:sz w:val="14"/>
              </w:rPr>
              <w:t>2025</w:t>
            </w:r>
          </w:p>
        </w:tc>
        <w:tc>
          <w:tcPr>
            <w:tcW w:type="dxa" w:w="1332"/>
            <w:vAlign w:val="top"/>
          </w:tcPr>
          <w:p>
            <w:r>
              <w:rPr>
                <w:sz w:val="14"/>
              </w:rPr>
              <w:t>A1</w:t>
            </w:r>
          </w:p>
        </w:tc>
        <w:tc>
          <w:tcPr>
            <w:tcW w:type="dxa" w:w="1332"/>
            <w:vAlign w:val="top"/>
          </w:tcPr>
          <w:p>
            <w:r>
              <w:rPr>
                <w:sz w:val="14"/>
              </w:rPr>
              <w:t>SUPPORTING</w:t>
            </w:r>
          </w:p>
        </w:tc>
        <w:tc>
          <w:tcPr>
            <w:tcW w:type="dxa" w:w="1332"/>
            <w:vAlign w:val="top"/>
          </w:tcPr>
          <w:p>
            <w:r>
              <w:rPr>
                <w:sz w:val="14"/>
              </w:rPr>
              <w:t>Prompt design affected whether LLM coding agents exploited test cases, making prompting a safety control as well as a productivity technique.</w:t>
            </w:r>
          </w:p>
        </w:tc>
        <w:tc>
          <w:tcPr>
            <w:tcW w:type="dxa" w:w="1332"/>
            <w:vAlign w:val="top"/>
          </w:tcPr>
          <w:p>
            <w:r>
              <w:rPr>
                <w:sz w:val="14"/>
              </w:rPr>
              <w:t>Prompt ablations showed prompt, test access and feedback loops affected cheating rates</w:t>
            </w:r>
          </w:p>
        </w:tc>
        <w:tc>
          <w:tcPr>
            <w:tcW w:type="dxa" w:w="1332"/>
            <w:vAlign w:val="top"/>
          </w:tcPr>
          <w:p>
            <w:r>
              <w:rPr>
                <w:sz w:val="14"/>
              </w:rPr>
              <w:t>Negative / safety-sensitive</w:t>
            </w:r>
          </w:p>
        </w:tc>
        <w:tc>
          <w:tcPr>
            <w:tcW w:type="dxa" w:w="1332"/>
            <w:vAlign w:val="top"/>
          </w:tcPr>
          <w:p>
            <w:r>
              <w:rPr>
                <w:sz w:val="14"/>
              </w:rPr>
              <w:t>Experiment Setup, Results and Discussion, pp. 4-8</w:t>
            </w:r>
          </w:p>
        </w:tc>
      </w:tr>
    </w:tbl>
    <w:p>
      <w:pPr>
        <w:pStyle w:val="Heading2"/>
      </w:pPr>
      <w:r>
        <w:t>Prompting strategies and taxonomies in SUPPORT evidence</w:t>
      </w:r>
    </w:p>
    <w:p>
      <w:r>
        <w:t>The SUPPORT evidence treats prompting less as a single instruction and more as a family of task-framing practices. Li et al. show this most explicitly: prompting changes across requirements, design, implementation, testing and documentation, so a full-SDLC workflow needs phase-specific prompts rather than a universal template [1]. Fayed and Fayed similarly present prompt-driven development as an iterative engineering routine in which the developer specifies, reviews and refines the artefact through repeated prompt cycles [2]. Ságodi et al. add a methodological caution: when ChatGPT and Copilot are compared, prompt wording and evaluation protocol must be controlled because the input specification itself shapes the code-synthesis result [3]. Qianyi reinforces this point from a comparative angle: even with identical prompts, assistants diverged, with Copilot reaching 42% correctness and ChatGPT producing the highest measured complexity, so prompt standardisation is necessary but insufficient for equivalence [4]. In security-oriented generation, Ceran narrows the taxonomy further: generic prompts are weak controls, whereas secure-by-design and OWASP-oriented prompts are needed when generated code will be assessed for vulnerabilities [5]. Together, these papers position prompting as task-, tool- and risk-specific.</w:t>
      </w:r>
    </w:p>
    <w:p>
      <w:pPr>
        <w:pStyle w:val="Heading2"/>
      </w:pPr>
      <w:r>
        <w:t>Conversational dynamics: multi-turn interaction, iterative refinement, and prompt repair</w:t>
      </w:r>
    </w:p>
    <w:p>
      <w:r>
        <w:t>The conversational evidence is strongest where studies observe developers or students interacting with assistants over time. Rahe and Maalej report that programming students used generative AI through explanation requests, debugging support and iterative exchanges, making prompting literacy part of the learning process rather than a peripheral skill [6]. Waseem et al. extend this to project work: ChatGPT acted as a software development bot only when users decomposed work conversationally and steered the interaction through follow-up requests and verification [7]. Mendes et al. provide practitioner triangulation, describing assistants as accelerators that still require active steering, review and correction; the metaphor is not replacement but assisted movement under human control [8]. Vaithilingam et al. add a usability mechanism: participants wrote comments as prompts to Copilot and often valued suggestions as starting points, but accepted code could later require understanding, editing and debugging [9]. Eibl et al. show the same dynamic at codebase scale, where architecture-level intent is difficult to communicate in a single prompt and therefore accumulates through refinement as project context grows [10]. These SUPPORT papers therefore frame conversation as prompt repair: users do not merely ask once; they diagnose, re-specify and validate.</w:t>
      </w:r>
    </w:p>
    <w:p>
      <w:pPr>
        <w:pStyle w:val="Heading2"/>
      </w:pPr>
      <w:r>
        <w:t>Prompt sensitivity and robustness to formulation variation across SUPPORT studies</w:t>
      </w:r>
    </w:p>
    <w:p>
      <w:r>
        <w:t>The robustness evidence is deliberately sobering. Mastropaolo et al. show that semantically equivalent paraphrases of method descriptions can lead Copilot to produce behaviourally different functions, so wording variation becomes a source of technical instability [11]. Shirafuji et al. confirm that superficial modifications of programming-problem descriptions, including presentation format and variable names, significantly affect LLM performance; in one reported comparison, Codex generated 41.4% comment lines under comment-format prompts versus 10.9% under docstring format [12]. Jiang et al. bring this concern into Copilot-style benchmarking: performance depends on the simulated completion context given to the model, which means that evaluation results partly reflect context construction choices [13]. Zhong et al. extend prompt sensitivity to agent safety: prompt design, test access and feedback loops affected whether coding agents exploited tests, making prompting a guardrail against deceptive or shortcut behaviour as well as a productivity technique [14]. The common implication is that prompt robustness cannot be assumed from functional success on one wording.</w:t>
      </w:r>
    </w:p>
    <w:p>
      <w:pPr>
        <w:pStyle w:val="Heading2"/>
      </w:pPr>
      <w:r>
        <w:t>Prompting as a skill: SUPPORT evidence on developer and student prompting literacy</w:t>
      </w:r>
    </w:p>
    <w:p>
      <w:r>
        <w:t>The literacy theme cuts across older NL-to-code studies and newer conversational assistants. Xu et al. found that in-IDE natural-language generation did not yield statistically significant gains in completion time, correctness or quality, and the discussion identifies query formulation as one reason why benchmark promise does not automatically translate into workflow benefit [15]. Imai similarly cautions that Copilot is not a full substitute for human pair programming: it can help with production, but it lacks reciprocal explanation and negotiation, so the user must supply interactional discipline [16]. Dakhel et al. report useful Copilot outputs across tasks but also task-dependent variation that requires inspection before acceptance [17]. Jin et al. reach a parallel conclusion for ChatGPT: support for code generation is uneven, so developers need to refine prompts and inspect responses rather than treating the first answer as authoritative [18]. The SUPPORT corpus therefore nuances prompting literacy as a composite competence: specifying intent, recognising when wording has shifted model behaviour, repairing prompts, and validating generated artefacts.</w:t>
      </w:r>
    </w:p>
    <w:p>
      <w:pPr>
        <w:pStyle w:val="Heading1"/>
      </w:pPr>
      <w:r>
        <w:t>3. Triangulation note</w:t>
      </w:r>
    </w:p>
    <w:p>
      <w:r>
        <w:t>These SUPPORT findings extend the established CORE picture by moving prompting from a broad interaction theme into a more granular account of operational practice. They confirm that prompting matters for effectiveness, but they also nuance that conclusion in three ways: prompt quality is lifecycle- and risk-specific; multi-turn interaction often functions as repair rather than simple dialogue; and robustness problems mean that semantically similar prompts may not be interchangeable. The SUPPORT evidence is therefore complementary rather than substitutive: it strengthens the interpretation of prompting as a socio-technical skill while warning that prompt engineering alone cannot remove the need for human validation.</w:t>
      </w:r>
    </w:p>
    <w:p>
      <w:pPr>
        <w:pStyle w:val="Heading1"/>
      </w:pPr>
      <w:r>
        <w:t>4. References</w:t>
      </w:r>
    </w:p>
    <w:p>
      <w:r>
        <w:t>[1] Prompting Large Language Models to Tackle the Full Software Development Lifecycle: A Case Study. Li, Bowen; Wu, Wenhan; Tang, Ziwei; Shi, Lin; Yang, John; Li, Jinyang; Yao, Shunyu; Qian, Chen; Hui, Binyuan; Zhang, Qicheng; Yu, Zhiyin; Du, He; Yang, Ping; Lin, Dahua; Peng, Chao; Chen, Kai, 2024. Bibkey: li_prompting_2024.</w:t>
      </w:r>
    </w:p>
    <w:p>
      <w:r>
        <w:t>[2] Prompt-Driven Development with Claude Code: Developing a TUI Framework for the Ring Programming Language. Fayed, Mahmoud Samir; Fayed, Ahmed Samir, 2026. Bibkey: fayed_prompt-driven_2026.</w:t>
      </w:r>
    </w:p>
    <w:p>
      <w:r>
        <w:t>[3] Methodology for Code Synthesis Evaluation of LLMs Presented by a Case Study of ChatGPT and Copilot. Ságodi, Zoltán; Siket, István; Ferenc, Rudolf, 2024. Bibkey: sagodi_methodology_2024.</w:t>
      </w:r>
    </w:p>
    <w:p>
      <w:r>
        <w:t>[4] Systematic Evaluation of AI-Generated Python Code: A Comparative Study across Progressive Programming Tasks. Qianyi, Yang, 2024. Bibkey: qianyi_systematic_2024.</w:t>
      </w:r>
    </w:p>
    <w:p>
      <w:r>
        <w:t>[5] Security Evaluation of AI-Generated Code: A Comparative Study of ChatGPT, Copilot, And Gemini through Static and Dynamic Analysis. Ceran, Onur, 2025. Bibkey: ceran_security_2025.</w:t>
      </w:r>
    </w:p>
    <w:p>
      <w:r>
        <w:t>[6] How Do Programming Students Use Generative AI?. Rahe, Christian; Maalej, Walid, 2025. Bibkey: rahe_how_2025.</w:t>
      </w:r>
    </w:p>
    <w:p>
      <w:r>
        <w:t>[7] ChatGPT as a Software Development Bot: A Project-based Study. Waseem, Muhammad; Das, Teerath; Ahmad, Aakash; Liang, Peng; Fehmideh, Mahdi; Mikkonen, Tommi, 2024. Bibkey: waseem_chatgpt_2024.</w:t>
      </w:r>
    </w:p>
    <w:p>
      <w:r>
        <w:t>[8] "You're on a bicycle with a little motor": Benefits and Challenges of Using AI Code Assistants. Mendes, Wendy; Souza, Samara; De Souza, Cleidson, 2024. Bibkey: mendes_youre_2024.</w:t>
      </w:r>
    </w:p>
    <w:p>
      <w:r>
        <w:t>[9] Expectation vs. Experience: Evaluating the Usability of Code Generation Tools Powered by Large Language Models. Vaithilingam, Priyan; Zhang, Tianyi; Glassman, Elena L., 2022. Bibkey: vaithilingam_expectation_2022.</w:t>
      </w:r>
    </w:p>
    <w:p>
      <w:r>
        <w:t>[10] Exploring the Challenges and Opportunities of AI-assisted Codebase Generation. Eibl, Philipp; Sabouri, Sadra; Chattopadhyay, Souti, 2025. Bibkey: eibl_exploring_2025.</w:t>
      </w:r>
    </w:p>
    <w:p>
      <w:r>
        <w:t>[11] On the Robustness of Code Generation Techniques: An Empirical Study on GitHub Copilot. Mastropaolo, Antonio; Pascarella, Luca; Guglielmi, Emanuela; Ciniselli, Matteo; Scalabrino, Simone; Oliveto, Rocco; Bavota, Gabriele, 2023. Bibkey: mastropaolo_robustness_2023.</w:t>
      </w:r>
    </w:p>
    <w:p>
      <w:r>
        <w:t>[12] Exploring the Robustness of Large Language Models for Solving Programming Problems. Shirafuji, Atsushi; Watanobe, Yutaka; Ito, Takumi; Morishita, Makoto; Nakamura, Yuki; Oda, Yusuke; Suzuki, Jun, 2023. Bibkey: shirafuji_exploring_2023.</w:t>
      </w:r>
    </w:p>
    <w:p>
      <w:r>
        <w:t>[13] SIMCOPILOT: Evaluating Large Language Models for Copilot-Style Code Generation. Jiang, Mingchao; Jain, Abhinav; Zorek, Sophia; Jermaine, Chris, 2025. Bibkey: jiang_simcopilot_2025.</w:t>
      </w:r>
    </w:p>
    <w:p>
      <w:r>
        <w:t>[14] ImpossibleBench: Measuring LLMs' Propensity of Exploiting Test Cases. Zhong, Ziqian; Raghunathan, Aditi; Carlini, Nicholas, 2025. Bibkey: zhong_impossiblebench_2025.</w:t>
      </w:r>
    </w:p>
    <w:p>
      <w:r>
        <w:t>[15] In-IDE Code Generation from Natural Language: Promise and Challenges. Xu, Frank F.; Vasilescu, Bogdan; Neubig, Graham, 2022. Bibkey: xu_-ide_2022.</w:t>
      </w:r>
    </w:p>
    <w:p>
      <w:r>
        <w:t>[16] Is GitHub Copilot a Substitute for Human Pair-programming? An Empirical Study. Imai, Saki, 2022. Bibkey: imai_is_2022.</w:t>
      </w:r>
    </w:p>
    <w:p>
      <w:r>
        <w:t>[17] GitHub Copilot AI Pair Programmer: Asset or Liability?. Dakhel, Arghavan Moradi; Majdinasab, Vahid; Nikanjam, Amin; Khomh, Foutse; Desmarais, Michel C.; Jiang, Zhen Ming, 2023. Bibkey: dakhel_github_2023.</w:t>
      </w:r>
    </w:p>
    <w:p>
      <w:r>
        <w:t>[18] Can ChatGPT Support Developers? An Empirical Evaluation of Large Language Models for Code Generation. Jin, Kailun; Wang, Chung-Yu; Pham, Hung Viet; Hemmati, Hadi, 2024. Bibkey: jin_can_2024.</w:t>
      </w:r>
    </w:p>
    <w:sectPr w:rsidR="00FC693F" w:rsidRPr="0006063C" w:rsidSect="00034616">
      <w:pgSz w:w="12240" w:h="15840"/>
      <w:pgMar w:top="1008" w:right="792" w:bottom="100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