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1.2 — NB4 HAI SUPPORT: Interaction Patterns and Workflow Integration</w:t>
      </w:r>
    </w:p>
    <w:p>
      <w:r>
        <w:t xml:space="preserve">Scope and validation. </w:t>
      </w:r>
      <w:r>
        <w:t>This artefact uses only NB4_HAI_SUPPORT papers tagged SUPPORTING in Relación de Estudios.xlsx. REMOVE_CANDIDATE papers are not cited. Bibkeys were verified literally against NB4_HAI_Support.bib; quality tiers and segment labels were taken from Relación de Estudios.xlsx; reference metadata were resolved through the Zotero key mapping into NB4_HAI_Support.csv.</w:t>
      </w:r>
    </w:p>
    <w:p>
      <w:pPr>
        <w:pStyle w:val="Heading1"/>
      </w:pPr>
      <w:r>
        <w:t>1. Evidence matrix</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top"/>
          </w:tcPr>
          <w:p>
            <w:r>
              <w:rPr>
                <w:sz w:val="12"/>
              </w:rPr>
              <w:t>Bibkey</w:t>
            </w:r>
          </w:p>
        </w:tc>
        <w:tc>
          <w:tcPr>
            <w:tcW w:type="dxa" w:w="1184"/>
            <w:vAlign w:val="top"/>
          </w:tcPr>
          <w:p>
            <w:r>
              <w:rPr>
                <w:sz w:val="12"/>
              </w:rPr>
              <w:t>Year</w:t>
            </w:r>
          </w:p>
        </w:tc>
        <w:tc>
          <w:tcPr>
            <w:tcW w:type="dxa" w:w="1184"/>
            <w:vAlign w:val="top"/>
          </w:tcPr>
          <w:p>
            <w:r>
              <w:rPr>
                <w:sz w:val="12"/>
              </w:rPr>
              <w:t>Quality tier</w:t>
            </w:r>
          </w:p>
        </w:tc>
        <w:tc>
          <w:tcPr>
            <w:tcW w:type="dxa" w:w="1184"/>
            <w:vAlign w:val="top"/>
          </w:tcPr>
          <w:p>
            <w:r>
              <w:rPr>
                <w:sz w:val="12"/>
              </w:rPr>
              <w:t>Segment</w:t>
            </w:r>
          </w:p>
        </w:tc>
        <w:tc>
          <w:tcPr>
            <w:tcW w:type="dxa" w:w="1184"/>
            <w:vAlign w:val="top"/>
          </w:tcPr>
          <w:p>
            <w:r>
              <w:rPr>
                <w:sz w:val="12"/>
              </w:rPr>
              <w:t>Key finding</w:t>
            </w:r>
          </w:p>
        </w:tc>
        <w:tc>
          <w:tcPr>
            <w:tcW w:type="dxa" w:w="1184"/>
            <w:vAlign w:val="top"/>
          </w:tcPr>
          <w:p>
            <w:r>
              <w:rPr>
                <w:sz w:val="12"/>
              </w:rPr>
              <w:t>Metric/value</w:t>
            </w:r>
          </w:p>
        </w:tc>
        <w:tc>
          <w:tcPr>
            <w:tcW w:type="dxa" w:w="1184"/>
            <w:vAlign w:val="top"/>
          </w:tcPr>
          <w:p>
            <w:r>
              <w:rPr>
                <w:sz w:val="12"/>
              </w:rPr>
              <w:t>Directionality</w:t>
            </w:r>
          </w:p>
        </w:tc>
        <w:tc>
          <w:tcPr>
            <w:tcW w:type="dxa" w:w="1184"/>
            <w:vAlign w:val="top"/>
          </w:tcPr>
          <w:p>
            <w:r>
              <w:rPr>
                <w:sz w:val="12"/>
              </w:rPr>
              <w:t>PDF section + page</w:t>
            </w:r>
          </w:p>
        </w:tc>
        <w:tc>
          <w:tcPr>
            <w:tcW w:type="dxa" w:w="1184"/>
            <w:vAlign w:val="top"/>
          </w:tcPr>
          <w:p>
            <w:r>
              <w:rPr>
                <w:sz w:val="12"/>
              </w:rPr>
              <w:t>Workflow context</w:t>
            </w:r>
          </w:p>
        </w:tc>
      </w:tr>
      <w:tr>
        <w:tc>
          <w:tcPr>
            <w:tcW w:type="dxa" w:w="1184"/>
            <w:vAlign w:val="top"/>
          </w:tcPr>
          <w:p>
            <w:r>
              <w:rPr>
                <w:sz w:val="12"/>
              </w:rPr>
              <w:t>xu_-ide_2022</w:t>
            </w:r>
          </w:p>
        </w:tc>
        <w:tc>
          <w:tcPr>
            <w:tcW w:type="dxa" w:w="1184"/>
            <w:vAlign w:val="top"/>
          </w:tcPr>
          <w:p>
            <w:r>
              <w:rPr>
                <w:sz w:val="12"/>
              </w:rPr>
              <w:t>2022</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Developers used in-IDE natural-language generation as an opportunistic coding aid, but integration depended on inspecting, adapting, and validating suggested code rather than accepting it wholesale.</w:t>
            </w:r>
          </w:p>
        </w:tc>
        <w:tc>
          <w:tcPr>
            <w:tcW w:type="dxa" w:w="1184"/>
            <w:vAlign w:val="top"/>
          </w:tcPr>
          <w:p>
            <w:r>
              <w:rPr>
                <w:sz w:val="12"/>
              </w:rPr>
              <w:t>Human evaluation; usability/acceptance evidence</w:t>
            </w:r>
          </w:p>
        </w:tc>
        <w:tc>
          <w:tcPr>
            <w:tcW w:type="dxa" w:w="1184"/>
            <w:vAlign w:val="top"/>
          </w:tcPr>
          <w:p>
            <w:r>
              <w:rPr>
                <w:sz w:val="12"/>
              </w:rPr>
              <w:t>Mixed: supportive but validation-heavy</w:t>
            </w:r>
          </w:p>
        </w:tc>
        <w:tc>
          <w:tcPr>
            <w:tcW w:type="dxa" w:w="1184"/>
            <w:vAlign w:val="top"/>
          </w:tcPr>
          <w:p>
            <w:r>
              <w:rPr>
                <w:sz w:val="12"/>
              </w:rPr>
              <w:t>Results/Discussion, pp. 18-23</w:t>
            </w:r>
          </w:p>
        </w:tc>
        <w:tc>
          <w:tcPr>
            <w:tcW w:type="dxa" w:w="1184"/>
            <w:vAlign w:val="top"/>
          </w:tcPr>
          <w:p>
            <w:r>
              <w:rPr>
                <w:sz w:val="12"/>
              </w:rPr>
              <w:t>solo</w:t>
            </w:r>
          </w:p>
        </w:tc>
      </w:tr>
      <w:tr>
        <w:tc>
          <w:tcPr>
            <w:tcW w:type="dxa" w:w="1184"/>
            <w:vAlign w:val="top"/>
          </w:tcPr>
          <w:p>
            <w:r>
              <w:rPr>
                <w:sz w:val="12"/>
              </w:rPr>
              <w:t>imai_is_2022</w:t>
            </w:r>
          </w:p>
        </w:tc>
        <w:tc>
          <w:tcPr>
            <w:tcW w:type="dxa" w:w="1184"/>
            <w:vAlign w:val="top"/>
          </w:tcPr>
          <w:p>
            <w:r>
              <w:rPr>
                <w:sz w:val="12"/>
              </w:rPr>
              <w:t>2022</w:t>
            </w:r>
          </w:p>
        </w:tc>
        <w:tc>
          <w:tcPr>
            <w:tcW w:type="dxa" w:w="1184"/>
            <w:vAlign w:val="top"/>
          </w:tcPr>
          <w:p>
            <w:r>
              <w:rPr>
                <w:sz w:val="12"/>
              </w:rPr>
              <w:t>B</w:t>
            </w:r>
          </w:p>
        </w:tc>
        <w:tc>
          <w:tcPr>
            <w:tcW w:type="dxa" w:w="1184"/>
            <w:vAlign w:val="top"/>
          </w:tcPr>
          <w:p>
            <w:r>
              <w:rPr>
                <w:sz w:val="12"/>
              </w:rPr>
              <w:t>SUPPORTING</w:t>
            </w:r>
          </w:p>
        </w:tc>
        <w:tc>
          <w:tcPr>
            <w:tcW w:type="dxa" w:w="1184"/>
            <w:vAlign w:val="top"/>
          </w:tcPr>
          <w:p>
            <w:r>
              <w:rPr>
                <w:sz w:val="12"/>
              </w:rPr>
              <w:t>Copilot behaved as a partial substitute for a human pair in routine programming, but the study positions it as weaker for collaborative reasoning and shared understanding.</w:t>
            </w:r>
          </w:p>
        </w:tc>
        <w:tc>
          <w:tcPr>
            <w:tcW w:type="dxa" w:w="1184"/>
            <w:vAlign w:val="top"/>
          </w:tcPr>
          <w:p>
            <w:r>
              <w:rPr>
                <w:sz w:val="12"/>
              </w:rPr>
              <w:t>Controlled comparison of Copilot-assisted and pair-programming conditions</w:t>
            </w:r>
          </w:p>
        </w:tc>
        <w:tc>
          <w:tcPr>
            <w:tcW w:type="dxa" w:w="1184"/>
            <w:vAlign w:val="top"/>
          </w:tcPr>
          <w:p>
            <w:r>
              <w:rPr>
                <w:sz w:val="12"/>
              </w:rPr>
              <w:t>Mixed: productivity aid, limited collaboration replacement</w:t>
            </w:r>
          </w:p>
        </w:tc>
        <w:tc>
          <w:tcPr>
            <w:tcW w:type="dxa" w:w="1184"/>
            <w:vAlign w:val="top"/>
          </w:tcPr>
          <w:p>
            <w:r>
              <w:rPr>
                <w:sz w:val="12"/>
              </w:rPr>
              <w:t>Results/Discussion, pp. 3-6</w:t>
            </w:r>
          </w:p>
        </w:tc>
        <w:tc>
          <w:tcPr>
            <w:tcW w:type="dxa" w:w="1184"/>
            <w:vAlign w:val="top"/>
          </w:tcPr>
          <w:p>
            <w:r>
              <w:rPr>
                <w:sz w:val="12"/>
              </w:rPr>
              <w:t>pair</w:t>
            </w:r>
          </w:p>
        </w:tc>
      </w:tr>
      <w:tr>
        <w:tc>
          <w:tcPr>
            <w:tcW w:type="dxa" w:w="1184"/>
            <w:vAlign w:val="top"/>
          </w:tcPr>
          <w:p>
            <w:r>
              <w:rPr>
                <w:sz w:val="12"/>
              </w:rPr>
              <w:t>dakhel_github_2023</w:t>
            </w:r>
          </w:p>
        </w:tc>
        <w:tc>
          <w:tcPr>
            <w:tcW w:type="dxa" w:w="1184"/>
            <w:vAlign w:val="top"/>
          </w:tcPr>
          <w:p>
            <w:r>
              <w:rPr>
                <w:sz w:val="12"/>
              </w:rPr>
              <w:t>2023</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Copilot generated useful solutions for many tasks, yet developers still needed to review correctness, performance, and maintainability before treating it as an asset.</w:t>
            </w:r>
          </w:p>
        </w:tc>
        <w:tc>
          <w:tcPr>
            <w:tcW w:type="dxa" w:w="1184"/>
            <w:vAlign w:val="top"/>
          </w:tcPr>
          <w:p>
            <w:r>
              <w:rPr>
                <w:sz w:val="12"/>
              </w:rPr>
              <w:t>Empirical task evaluation with Copilot</w:t>
            </w:r>
          </w:p>
        </w:tc>
        <w:tc>
          <w:tcPr>
            <w:tcW w:type="dxa" w:w="1184"/>
            <w:vAlign w:val="top"/>
          </w:tcPr>
          <w:p>
            <w:r>
              <w:rPr>
                <w:sz w:val="12"/>
              </w:rPr>
              <w:t>Mixed positive with quality risk</w:t>
            </w:r>
          </w:p>
        </w:tc>
        <w:tc>
          <w:tcPr>
            <w:tcW w:type="dxa" w:w="1184"/>
            <w:vAlign w:val="top"/>
          </w:tcPr>
          <w:p>
            <w:r>
              <w:rPr>
                <w:sz w:val="12"/>
              </w:rPr>
              <w:t>Evaluation/Discussion, pp. 6-12</w:t>
            </w:r>
          </w:p>
        </w:tc>
        <w:tc>
          <w:tcPr>
            <w:tcW w:type="dxa" w:w="1184"/>
            <w:vAlign w:val="top"/>
          </w:tcPr>
          <w:p>
            <w:r>
              <w:rPr>
                <w:sz w:val="12"/>
              </w:rPr>
              <w:t>solo</w:t>
            </w:r>
          </w:p>
        </w:tc>
      </w:tr>
      <w:tr>
        <w:tc>
          <w:tcPr>
            <w:tcW w:type="dxa" w:w="1184"/>
            <w:vAlign w:val="top"/>
          </w:tcPr>
          <w:p>
            <w:r>
              <w:rPr>
                <w:sz w:val="12"/>
              </w:rPr>
              <w:t>mendes_youre_2024</w:t>
            </w:r>
          </w:p>
        </w:tc>
        <w:tc>
          <w:tcPr>
            <w:tcW w:type="dxa" w:w="1184"/>
            <w:vAlign w:val="top"/>
          </w:tcPr>
          <w:p>
            <w:r>
              <w:rPr>
                <w:sz w:val="12"/>
              </w:rPr>
              <w:t>2024</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Practitioners described AI assistants as a small motor on the bicycle: helpful for acceleration, scaffolding, and routine code, but requiring developer steering and judgement.</w:t>
            </w:r>
          </w:p>
        </w:tc>
        <w:tc>
          <w:tcPr>
            <w:tcW w:type="dxa" w:w="1184"/>
            <w:vAlign w:val="top"/>
          </w:tcPr>
          <w:p>
            <w:r>
              <w:rPr>
                <w:sz w:val="12"/>
              </w:rPr>
              <w:t>Interview study; perceived benefits and challenges</w:t>
            </w:r>
          </w:p>
        </w:tc>
        <w:tc>
          <w:tcPr>
            <w:tcW w:type="dxa" w:w="1184"/>
            <w:vAlign w:val="top"/>
          </w:tcPr>
          <w:p>
            <w:r>
              <w:rPr>
                <w:sz w:val="12"/>
              </w:rPr>
              <w:t>Positive but conditional</w:t>
            </w:r>
          </w:p>
        </w:tc>
        <w:tc>
          <w:tcPr>
            <w:tcW w:type="dxa" w:w="1184"/>
            <w:vAlign w:val="top"/>
          </w:tcPr>
          <w:p>
            <w:r>
              <w:rPr>
                <w:sz w:val="12"/>
              </w:rPr>
              <w:t>Findings, pp. 5-10</w:t>
            </w:r>
          </w:p>
        </w:tc>
        <w:tc>
          <w:tcPr>
            <w:tcW w:type="dxa" w:w="1184"/>
            <w:vAlign w:val="top"/>
          </w:tcPr>
          <w:p>
            <w:r>
              <w:rPr>
                <w:sz w:val="12"/>
              </w:rPr>
              <w:t>solo / team</w:t>
            </w:r>
          </w:p>
        </w:tc>
      </w:tr>
      <w:tr>
        <w:tc>
          <w:tcPr>
            <w:tcW w:type="dxa" w:w="1184"/>
            <w:vAlign w:val="top"/>
          </w:tcPr>
          <w:p>
            <w:r>
              <w:rPr>
                <w:sz w:val="12"/>
              </w:rPr>
              <w:t>chen_code_2025</w:t>
            </w:r>
          </w:p>
        </w:tc>
        <w:tc>
          <w:tcPr>
            <w:tcW w:type="dxa" w:w="1184"/>
            <w:vAlign w:val="top"/>
          </w:tcPr>
          <w:p>
            <w:r>
              <w:rPr>
                <w:sz w:val="12"/>
              </w:rPr>
              <w:t>2025</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Increasing automation changed workflows from completion support towards delegation, shifting developer work into specification, monitoring, verification, and repair.</w:t>
            </w:r>
          </w:p>
        </w:tc>
        <w:tc>
          <w:tcPr>
            <w:tcW w:type="dxa" w:w="1184"/>
            <w:vAlign w:val="top"/>
          </w:tcPr>
          <w:p>
            <w:r>
              <w:rPr>
                <w:sz w:val="12"/>
              </w:rPr>
              <w:t>Workflow study across automation levels</w:t>
            </w:r>
          </w:p>
        </w:tc>
        <w:tc>
          <w:tcPr>
            <w:tcW w:type="dxa" w:w="1184"/>
            <w:vAlign w:val="top"/>
          </w:tcPr>
          <w:p>
            <w:r>
              <w:rPr>
                <w:sz w:val="12"/>
              </w:rPr>
              <w:t>Mixed: automation changes locus of work</w:t>
            </w:r>
          </w:p>
        </w:tc>
        <w:tc>
          <w:tcPr>
            <w:tcW w:type="dxa" w:w="1184"/>
            <w:vAlign w:val="top"/>
          </w:tcPr>
          <w:p>
            <w:r>
              <w:rPr>
                <w:sz w:val="12"/>
              </w:rPr>
              <w:t>Findings/Discussion, pp. 5-14</w:t>
            </w:r>
          </w:p>
        </w:tc>
        <w:tc>
          <w:tcPr>
            <w:tcW w:type="dxa" w:w="1184"/>
            <w:vAlign w:val="top"/>
          </w:tcPr>
          <w:p>
            <w:r>
              <w:rPr>
                <w:sz w:val="12"/>
              </w:rPr>
              <w:t>agentic</w:t>
            </w:r>
          </w:p>
        </w:tc>
      </w:tr>
      <w:tr>
        <w:tc>
          <w:tcPr>
            <w:tcW w:type="dxa" w:w="1184"/>
            <w:vAlign w:val="top"/>
          </w:tcPr>
          <w:p>
            <w:r>
              <w:rPr>
                <w:sz w:val="12"/>
              </w:rPr>
              <w:t>das_investigating_2024</w:t>
            </w:r>
          </w:p>
        </w:tc>
        <w:tc>
          <w:tcPr>
            <w:tcW w:type="dxa" w:w="1184"/>
            <w:vAlign w:val="top"/>
          </w:tcPr>
          <w:p>
            <w:r>
              <w:rPr>
                <w:sz w:val="12"/>
              </w:rPr>
              <w:t>2024</w:t>
            </w:r>
          </w:p>
        </w:tc>
        <w:tc>
          <w:tcPr>
            <w:tcW w:type="dxa" w:w="1184"/>
            <w:vAlign w:val="top"/>
          </w:tcPr>
          <w:p>
            <w:r>
              <w:rPr>
                <w:sz w:val="12"/>
              </w:rPr>
              <w:t>B</w:t>
            </w:r>
          </w:p>
        </w:tc>
        <w:tc>
          <w:tcPr>
            <w:tcW w:type="dxa" w:w="1184"/>
            <w:vAlign w:val="top"/>
          </w:tcPr>
          <w:p>
            <w:r>
              <w:rPr>
                <w:sz w:val="12"/>
              </w:rPr>
              <w:t>SUPPORTING</w:t>
            </w:r>
          </w:p>
        </w:tc>
        <w:tc>
          <w:tcPr>
            <w:tcW w:type="dxa" w:w="1184"/>
            <w:vAlign w:val="top"/>
          </w:tcPr>
          <w:p>
            <w:r>
              <w:rPr>
                <w:sz w:val="12"/>
              </w:rPr>
              <w:t>In issue-tracking contexts, ChatGPT was explored as support for issue understanding and management tasks, extending interaction beyond code generation into repository workflow.</w:t>
            </w:r>
          </w:p>
        </w:tc>
        <w:tc>
          <w:tcPr>
            <w:tcW w:type="dxa" w:w="1184"/>
            <w:vAlign w:val="top"/>
          </w:tcPr>
          <w:p>
            <w:r>
              <w:rPr>
                <w:sz w:val="12"/>
              </w:rPr>
              <w:t>Exploratory MSR study of issue-tracking tasks</w:t>
            </w:r>
          </w:p>
        </w:tc>
        <w:tc>
          <w:tcPr>
            <w:tcW w:type="dxa" w:w="1184"/>
            <w:vAlign w:val="top"/>
          </w:tcPr>
          <w:p>
            <w:r>
              <w:rPr>
                <w:sz w:val="12"/>
              </w:rPr>
              <w:t>Positive but task-dependent</w:t>
            </w:r>
          </w:p>
        </w:tc>
        <w:tc>
          <w:tcPr>
            <w:tcW w:type="dxa" w:w="1184"/>
            <w:vAlign w:val="top"/>
          </w:tcPr>
          <w:p>
            <w:r>
              <w:rPr>
                <w:sz w:val="12"/>
              </w:rPr>
              <w:t>Results/Discussion, pp. 4-9</w:t>
            </w:r>
          </w:p>
        </w:tc>
        <w:tc>
          <w:tcPr>
            <w:tcW w:type="dxa" w:w="1184"/>
            <w:vAlign w:val="top"/>
          </w:tcPr>
          <w:p>
            <w:r>
              <w:rPr>
                <w:sz w:val="12"/>
              </w:rPr>
              <w:t>team / organisational</w:t>
            </w:r>
          </w:p>
        </w:tc>
      </w:tr>
      <w:tr>
        <w:tc>
          <w:tcPr>
            <w:tcW w:type="dxa" w:w="1184"/>
            <w:vAlign w:val="top"/>
          </w:tcPr>
          <w:p>
            <w:r>
              <w:rPr>
                <w:sz w:val="12"/>
              </w:rPr>
              <w:t>waseem_chatgpt_2024</w:t>
            </w:r>
          </w:p>
        </w:tc>
        <w:tc>
          <w:tcPr>
            <w:tcW w:type="dxa" w:w="1184"/>
            <w:vAlign w:val="top"/>
          </w:tcPr>
          <w:p>
            <w:r>
              <w:rPr>
                <w:sz w:val="12"/>
              </w:rPr>
              <w:t>2024</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A project-based study found ChatGPT useful across software-development activities, but its outputs required iterative prompting, contextualisation, and human checking.</w:t>
            </w:r>
          </w:p>
        </w:tc>
        <w:tc>
          <w:tcPr>
            <w:tcW w:type="dxa" w:w="1184"/>
            <w:vAlign w:val="top"/>
          </w:tcPr>
          <w:p>
            <w:r>
              <w:rPr>
                <w:sz w:val="12"/>
              </w:rPr>
              <w:t>Project-based empirical study</w:t>
            </w:r>
          </w:p>
        </w:tc>
        <w:tc>
          <w:tcPr>
            <w:tcW w:type="dxa" w:w="1184"/>
            <w:vAlign w:val="top"/>
          </w:tcPr>
          <w:p>
            <w:r>
              <w:rPr>
                <w:sz w:val="12"/>
              </w:rPr>
              <w:t>Positive with verification burden</w:t>
            </w:r>
          </w:p>
        </w:tc>
        <w:tc>
          <w:tcPr>
            <w:tcW w:type="dxa" w:w="1184"/>
            <w:vAlign w:val="top"/>
          </w:tcPr>
          <w:p>
            <w:r>
              <w:rPr>
                <w:sz w:val="12"/>
              </w:rPr>
              <w:t>Results/Discussion, pp. 6-13</w:t>
            </w:r>
          </w:p>
        </w:tc>
        <w:tc>
          <w:tcPr>
            <w:tcW w:type="dxa" w:w="1184"/>
            <w:vAlign w:val="top"/>
          </w:tcPr>
          <w:p>
            <w:r>
              <w:rPr>
                <w:sz w:val="12"/>
              </w:rPr>
              <w:t>project / mixed</w:t>
            </w:r>
          </w:p>
        </w:tc>
      </w:tr>
      <w:tr>
        <w:tc>
          <w:tcPr>
            <w:tcW w:type="dxa" w:w="1184"/>
            <w:vAlign w:val="top"/>
          </w:tcPr>
          <w:p>
            <w:r>
              <w:rPr>
                <w:sz w:val="12"/>
              </w:rPr>
              <w:t>aguiar_multi-language_2024</w:t>
            </w:r>
          </w:p>
        </w:tc>
        <w:tc>
          <w:tcPr>
            <w:tcW w:type="dxa" w:w="1184"/>
            <w:vAlign w:val="top"/>
          </w:tcPr>
          <w:p>
            <w:r>
              <w:rPr>
                <w:sz w:val="12"/>
              </w:rPr>
              <w:t>2024</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Practitioners’ ChatGPT conversations showed multi-language development support as an interactive, iterative workflow spanning explanation, translation, debugging, and implementation questions.</w:t>
            </w:r>
          </w:p>
        </w:tc>
        <w:tc>
          <w:tcPr>
            <w:tcW w:type="dxa" w:w="1184"/>
            <w:vAlign w:val="top"/>
          </w:tcPr>
          <w:p>
            <w:r>
              <w:rPr>
                <w:sz w:val="12"/>
              </w:rPr>
              <w:t>Conversation analysis of practitioner interactions</w:t>
            </w:r>
          </w:p>
        </w:tc>
        <w:tc>
          <w:tcPr>
            <w:tcW w:type="dxa" w:w="1184"/>
            <w:vAlign w:val="top"/>
          </w:tcPr>
          <w:p>
            <w:r>
              <w:rPr>
                <w:sz w:val="12"/>
              </w:rPr>
              <w:t>Positive: broad workflow support</w:t>
            </w:r>
          </w:p>
        </w:tc>
        <w:tc>
          <w:tcPr>
            <w:tcW w:type="dxa" w:w="1184"/>
            <w:vAlign w:val="top"/>
          </w:tcPr>
          <w:p>
            <w:r>
              <w:rPr>
                <w:sz w:val="12"/>
              </w:rPr>
              <w:t>Results/Findings, pp. 4-11</w:t>
            </w:r>
          </w:p>
        </w:tc>
        <w:tc>
          <w:tcPr>
            <w:tcW w:type="dxa" w:w="1184"/>
            <w:vAlign w:val="top"/>
          </w:tcPr>
          <w:p>
            <w:r>
              <w:rPr>
                <w:sz w:val="12"/>
              </w:rPr>
              <w:t>solo / mixed</w:t>
            </w:r>
          </w:p>
        </w:tc>
      </w:tr>
      <w:tr>
        <w:tc>
          <w:tcPr>
            <w:tcW w:type="dxa" w:w="1184"/>
            <w:vAlign w:val="top"/>
          </w:tcPr>
          <w:p>
            <w:r>
              <w:rPr>
                <w:sz w:val="12"/>
              </w:rPr>
              <w:t>rasnayaka_empirical_2024</w:t>
            </w:r>
          </w:p>
        </w:tc>
        <w:tc>
          <w:tcPr>
            <w:tcW w:type="dxa" w:w="1184"/>
            <w:vAlign w:val="top"/>
          </w:tcPr>
          <w:p>
            <w:r>
              <w:rPr>
                <w:sz w:val="12"/>
              </w:rPr>
              <w:t>2024</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In a software engineering project, LLM use was shaped by perceived usefulness, trust, and learning needs, with adoption varying across tasks and developers.</w:t>
            </w:r>
          </w:p>
        </w:tc>
        <w:tc>
          <w:tcPr>
            <w:tcW w:type="dxa" w:w="1184"/>
            <w:vAlign w:val="top"/>
          </w:tcPr>
          <w:p>
            <w:r>
              <w:rPr>
                <w:sz w:val="12"/>
              </w:rPr>
              <w:t>Survey/interview evidence from SE project</w:t>
            </w:r>
          </w:p>
        </w:tc>
        <w:tc>
          <w:tcPr>
            <w:tcW w:type="dxa" w:w="1184"/>
            <w:vAlign w:val="top"/>
          </w:tcPr>
          <w:p>
            <w:r>
              <w:rPr>
                <w:sz w:val="12"/>
              </w:rPr>
              <w:t>Mixed: useful but uneven adoption</w:t>
            </w:r>
          </w:p>
        </w:tc>
        <w:tc>
          <w:tcPr>
            <w:tcW w:type="dxa" w:w="1184"/>
            <w:vAlign w:val="top"/>
          </w:tcPr>
          <w:p>
            <w:r>
              <w:rPr>
                <w:sz w:val="12"/>
              </w:rPr>
              <w:t>Results/Discussion, pp. 5-10</w:t>
            </w:r>
          </w:p>
        </w:tc>
        <w:tc>
          <w:tcPr>
            <w:tcW w:type="dxa" w:w="1184"/>
            <w:vAlign w:val="top"/>
          </w:tcPr>
          <w:p>
            <w:r>
              <w:rPr>
                <w:sz w:val="12"/>
              </w:rPr>
              <w:t>team</w:t>
            </w:r>
          </w:p>
        </w:tc>
      </w:tr>
      <w:tr>
        <w:tc>
          <w:tcPr>
            <w:tcW w:type="dxa" w:w="1184"/>
            <w:vAlign w:val="top"/>
          </w:tcPr>
          <w:p>
            <w:r>
              <w:rPr>
                <w:sz w:val="12"/>
              </w:rPr>
              <w:t>eibl_exploring_2025</w:t>
            </w:r>
          </w:p>
        </w:tc>
        <w:tc>
          <w:tcPr>
            <w:tcW w:type="dxa" w:w="1184"/>
            <w:vAlign w:val="top"/>
          </w:tcPr>
          <w:p>
            <w:r>
              <w:rPr>
                <w:sz w:val="12"/>
              </w:rPr>
              <w:t>2025</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AI-assisted codebase generation introduced a higher-level workflow where developers prompt for architectural/codebase artefacts, then diagnose integration, consistency, and maintainability problems.</w:t>
            </w:r>
          </w:p>
        </w:tc>
        <w:tc>
          <w:tcPr>
            <w:tcW w:type="dxa" w:w="1184"/>
            <w:vAlign w:val="top"/>
          </w:tcPr>
          <w:p>
            <w:r>
              <w:rPr>
                <w:sz w:val="12"/>
              </w:rPr>
              <w:t>Exploratory codebase-generation study</w:t>
            </w:r>
          </w:p>
        </w:tc>
        <w:tc>
          <w:tcPr>
            <w:tcW w:type="dxa" w:w="1184"/>
            <w:vAlign w:val="top"/>
          </w:tcPr>
          <w:p>
            <w:r>
              <w:rPr>
                <w:sz w:val="12"/>
              </w:rPr>
              <w:t>Mixed: expands scope but raises integration challenges</w:t>
            </w:r>
          </w:p>
        </w:tc>
        <w:tc>
          <w:tcPr>
            <w:tcW w:type="dxa" w:w="1184"/>
            <w:vAlign w:val="top"/>
          </w:tcPr>
          <w:p>
            <w:r>
              <w:rPr>
                <w:sz w:val="12"/>
              </w:rPr>
              <w:t>Findings/Discussion, pp. 6-15</w:t>
            </w:r>
          </w:p>
        </w:tc>
        <w:tc>
          <w:tcPr>
            <w:tcW w:type="dxa" w:w="1184"/>
            <w:vAlign w:val="top"/>
          </w:tcPr>
          <w:p>
            <w:r>
              <w:rPr>
                <w:sz w:val="12"/>
              </w:rPr>
              <w:t>agentic / project</w:t>
            </w:r>
          </w:p>
        </w:tc>
      </w:tr>
      <w:tr>
        <w:tc>
          <w:tcPr>
            <w:tcW w:type="dxa" w:w="1184"/>
            <w:vAlign w:val="top"/>
          </w:tcPr>
          <w:p>
            <w:r>
              <w:rPr>
                <w:sz w:val="12"/>
              </w:rPr>
              <w:t>liang_large-scale_2024</w:t>
            </w:r>
          </w:p>
        </w:tc>
        <w:tc>
          <w:tcPr>
            <w:tcW w:type="dxa" w:w="1184"/>
            <w:vAlign w:val="top"/>
          </w:tcPr>
          <w:p>
            <w:r>
              <w:rPr>
                <w:sz w:val="12"/>
              </w:rPr>
              <w:t>2024</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A large-scale survey reported that AI programming assistants improve routine coding usability, but developers still encounter unmet needs around context, controllability, and reliability.</w:t>
            </w:r>
          </w:p>
        </w:tc>
        <w:tc>
          <w:tcPr>
            <w:tcW w:type="dxa" w:w="1184"/>
            <w:vAlign w:val="top"/>
          </w:tcPr>
          <w:p>
            <w:r>
              <w:rPr>
                <w:sz w:val="12"/>
              </w:rPr>
              <w:t>Large-scale developer survey</w:t>
            </w:r>
          </w:p>
        </w:tc>
        <w:tc>
          <w:tcPr>
            <w:tcW w:type="dxa" w:w="1184"/>
            <w:vAlign w:val="top"/>
          </w:tcPr>
          <w:p>
            <w:r>
              <w:rPr>
                <w:sz w:val="12"/>
              </w:rPr>
              <w:t>Mixed: successes and challenges</w:t>
            </w:r>
          </w:p>
        </w:tc>
        <w:tc>
          <w:tcPr>
            <w:tcW w:type="dxa" w:w="1184"/>
            <w:vAlign w:val="top"/>
          </w:tcPr>
          <w:p>
            <w:r>
              <w:rPr>
                <w:sz w:val="12"/>
              </w:rPr>
              <w:t>Results, pp. 4-13</w:t>
            </w:r>
          </w:p>
        </w:tc>
        <w:tc>
          <w:tcPr>
            <w:tcW w:type="dxa" w:w="1184"/>
            <w:vAlign w:val="top"/>
          </w:tcPr>
          <w:p>
            <w:r>
              <w:rPr>
                <w:sz w:val="12"/>
              </w:rPr>
              <w:t>solo / organisational</w:t>
            </w:r>
          </w:p>
        </w:tc>
      </w:tr>
      <w:tr>
        <w:tc>
          <w:tcPr>
            <w:tcW w:type="dxa" w:w="1184"/>
            <w:vAlign w:val="top"/>
          </w:tcPr>
          <w:p>
            <w:r>
              <w:rPr>
                <w:sz w:val="12"/>
              </w:rPr>
              <w:t>tan_how_2024</w:t>
            </w:r>
          </w:p>
        </w:tc>
        <w:tc>
          <w:tcPr>
            <w:tcW w:type="dxa" w:w="1184"/>
            <w:vAlign w:val="top"/>
          </w:tcPr>
          <w:p>
            <w:r>
              <w:rPr>
                <w:sz w:val="12"/>
              </w:rPr>
              <w:t>2024</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AI assistants remained far from fully meeting developer needs because task context, intent capture, and integration into actual development environments constrained usefulness.</w:t>
            </w:r>
          </w:p>
        </w:tc>
        <w:tc>
          <w:tcPr>
            <w:tcW w:type="dxa" w:w="1184"/>
            <w:vAlign w:val="top"/>
          </w:tcPr>
          <w:p>
            <w:r>
              <w:rPr>
                <w:sz w:val="12"/>
              </w:rPr>
              <w:t>Controlled/mixed-methods usability study</w:t>
            </w:r>
          </w:p>
        </w:tc>
        <w:tc>
          <w:tcPr>
            <w:tcW w:type="dxa" w:w="1184"/>
            <w:vAlign w:val="top"/>
          </w:tcPr>
          <w:p>
            <w:r>
              <w:rPr>
                <w:sz w:val="12"/>
              </w:rPr>
              <w:t>Negative/mixed: need gap persists</w:t>
            </w:r>
          </w:p>
        </w:tc>
        <w:tc>
          <w:tcPr>
            <w:tcW w:type="dxa" w:w="1184"/>
            <w:vAlign w:val="top"/>
          </w:tcPr>
          <w:p>
            <w:r>
              <w:rPr>
                <w:sz w:val="12"/>
              </w:rPr>
              <w:t>Results/Discussion, pp. 5-12</w:t>
            </w:r>
          </w:p>
        </w:tc>
        <w:tc>
          <w:tcPr>
            <w:tcW w:type="dxa" w:w="1184"/>
            <w:vAlign w:val="top"/>
          </w:tcPr>
          <w:p>
            <w:r>
              <w:rPr>
                <w:sz w:val="12"/>
              </w:rPr>
              <w:t>solo</w:t>
            </w:r>
          </w:p>
        </w:tc>
      </w:tr>
      <w:tr>
        <w:tc>
          <w:tcPr>
            <w:tcW w:type="dxa" w:w="1184"/>
            <w:vAlign w:val="top"/>
          </w:tcPr>
          <w:p>
            <w:r>
              <w:rPr>
                <w:sz w:val="12"/>
              </w:rPr>
              <w:t>ng_harnessing_2024</w:t>
            </w:r>
          </w:p>
        </w:tc>
        <w:tc>
          <w:tcPr>
            <w:tcW w:type="dxa" w:w="1184"/>
            <w:vAlign w:val="top"/>
          </w:tcPr>
          <w:p>
            <w:r>
              <w:rPr>
                <w:sz w:val="12"/>
              </w:rPr>
              <w:t>2024</w:t>
            </w:r>
          </w:p>
        </w:tc>
        <w:tc>
          <w:tcPr>
            <w:tcW w:type="dxa" w:w="1184"/>
            <w:vAlign w:val="top"/>
          </w:tcPr>
          <w:p>
            <w:r>
              <w:rPr>
                <w:sz w:val="12"/>
              </w:rPr>
              <w:t>B</w:t>
            </w:r>
          </w:p>
        </w:tc>
        <w:tc>
          <w:tcPr>
            <w:tcW w:type="dxa" w:w="1184"/>
            <w:vAlign w:val="top"/>
          </w:tcPr>
          <w:p>
            <w:r>
              <w:rPr>
                <w:sz w:val="12"/>
              </w:rPr>
              <w:t>SUPPORTING</w:t>
            </w:r>
          </w:p>
        </w:tc>
        <w:tc>
          <w:tcPr>
            <w:tcW w:type="dxa" w:w="1184"/>
            <w:vAlign w:val="top"/>
          </w:tcPr>
          <w:p>
            <w:r>
              <w:rPr>
                <w:sz w:val="12"/>
              </w:rPr>
              <w:t>Public-sector deployment emphasised organisational conditions: governance, security, policy, skills, and change management shaped whether coding assistants could be harnessed safely.</w:t>
            </w:r>
          </w:p>
        </w:tc>
        <w:tc>
          <w:tcPr>
            <w:tcW w:type="dxa" w:w="1184"/>
            <w:vAlign w:val="top"/>
          </w:tcPr>
          <w:p>
            <w:r>
              <w:rPr>
                <w:sz w:val="12"/>
              </w:rPr>
              <w:t>Mixed-methods public-sector study</w:t>
            </w:r>
          </w:p>
        </w:tc>
        <w:tc>
          <w:tcPr>
            <w:tcW w:type="dxa" w:w="1184"/>
            <w:vAlign w:val="top"/>
          </w:tcPr>
          <w:p>
            <w:r>
              <w:rPr>
                <w:sz w:val="12"/>
              </w:rPr>
              <w:t>Conditional: organisational enablement required</w:t>
            </w:r>
          </w:p>
        </w:tc>
        <w:tc>
          <w:tcPr>
            <w:tcW w:type="dxa" w:w="1184"/>
            <w:vAlign w:val="top"/>
          </w:tcPr>
          <w:p>
            <w:r>
              <w:rPr>
                <w:sz w:val="12"/>
              </w:rPr>
              <w:t>Findings/Discussion, pp. 6-12</w:t>
            </w:r>
          </w:p>
        </w:tc>
        <w:tc>
          <w:tcPr>
            <w:tcW w:type="dxa" w:w="1184"/>
            <w:vAlign w:val="top"/>
          </w:tcPr>
          <w:p>
            <w:r>
              <w:rPr>
                <w:sz w:val="12"/>
              </w:rPr>
              <w:t>organisational</w:t>
            </w:r>
          </w:p>
        </w:tc>
      </w:tr>
      <w:tr>
        <w:tc>
          <w:tcPr>
            <w:tcW w:type="dxa" w:w="1184"/>
            <w:vAlign w:val="top"/>
          </w:tcPr>
          <w:p>
            <w:r>
              <w:rPr>
                <w:sz w:val="12"/>
              </w:rPr>
              <w:t>geyer_case_2025</w:t>
            </w:r>
          </w:p>
        </w:tc>
        <w:tc>
          <w:tcPr>
            <w:tcW w:type="dxa" w:w="1184"/>
            <w:vAlign w:val="top"/>
          </w:tcPr>
          <w:p>
            <w:r>
              <w:rPr>
                <w:sz w:val="12"/>
              </w:rPr>
              <w:t>2025</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In agile epic quality evaluation, generative AI supported project-level artefact review, but human expertise remained necessary for interpreting quality criteria and acting on feedback.</w:t>
            </w:r>
          </w:p>
        </w:tc>
        <w:tc>
          <w:tcPr>
            <w:tcW w:type="dxa" w:w="1184"/>
            <w:vAlign w:val="top"/>
          </w:tcPr>
          <w:p>
            <w:r>
              <w:rPr>
                <w:sz w:val="12"/>
              </w:rPr>
              <w:t>Case study of epic quality evaluation</w:t>
            </w:r>
          </w:p>
        </w:tc>
        <w:tc>
          <w:tcPr>
            <w:tcW w:type="dxa" w:w="1184"/>
            <w:vAlign w:val="top"/>
          </w:tcPr>
          <w:p>
            <w:r>
              <w:rPr>
                <w:sz w:val="12"/>
              </w:rPr>
              <w:t>Positive as review support, not replacement</w:t>
            </w:r>
          </w:p>
        </w:tc>
        <w:tc>
          <w:tcPr>
            <w:tcW w:type="dxa" w:w="1184"/>
            <w:vAlign w:val="top"/>
          </w:tcPr>
          <w:p>
            <w:r>
              <w:rPr>
                <w:sz w:val="12"/>
              </w:rPr>
              <w:t>Findings, pp. 5-11</w:t>
            </w:r>
          </w:p>
        </w:tc>
        <w:tc>
          <w:tcPr>
            <w:tcW w:type="dxa" w:w="1184"/>
            <w:vAlign w:val="top"/>
          </w:tcPr>
          <w:p>
            <w:r>
              <w:rPr>
                <w:sz w:val="12"/>
              </w:rPr>
              <w:t>team / organisational</w:t>
            </w:r>
          </w:p>
        </w:tc>
      </w:tr>
      <w:tr>
        <w:tc>
          <w:tcPr>
            <w:tcW w:type="dxa" w:w="1184"/>
            <w:vAlign w:val="top"/>
          </w:tcPr>
          <w:p>
            <w:r>
              <w:rPr>
                <w:sz w:val="12"/>
              </w:rPr>
              <w:t>fayed_prompt-driven_2026</w:t>
            </w:r>
          </w:p>
        </w:tc>
        <w:tc>
          <w:tcPr>
            <w:tcW w:type="dxa" w:w="1184"/>
            <w:vAlign w:val="top"/>
          </w:tcPr>
          <w:p>
            <w:r>
              <w:rPr>
                <w:sz w:val="12"/>
              </w:rPr>
              <w:t>2026</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Prompt-driven development with Claude Code showed an agentic workflow in which implementation proceeded through iterative prompts, generated artefacts, inspection, and correction.</w:t>
            </w:r>
          </w:p>
        </w:tc>
        <w:tc>
          <w:tcPr>
            <w:tcW w:type="dxa" w:w="1184"/>
            <w:vAlign w:val="top"/>
          </w:tcPr>
          <w:p>
            <w:r>
              <w:rPr>
                <w:sz w:val="12"/>
              </w:rPr>
              <w:t>Qualitative case study</w:t>
            </w:r>
          </w:p>
        </w:tc>
        <w:tc>
          <w:tcPr>
            <w:tcW w:type="dxa" w:w="1184"/>
            <w:vAlign w:val="top"/>
          </w:tcPr>
          <w:p>
            <w:r>
              <w:rPr>
                <w:sz w:val="12"/>
              </w:rPr>
              <w:t>Positive but highly iterative</w:t>
            </w:r>
          </w:p>
        </w:tc>
        <w:tc>
          <w:tcPr>
            <w:tcW w:type="dxa" w:w="1184"/>
            <w:vAlign w:val="top"/>
          </w:tcPr>
          <w:p>
            <w:r>
              <w:rPr>
                <w:sz w:val="12"/>
              </w:rPr>
              <w:t>Results/Discussion, pp. 7-15</w:t>
            </w:r>
          </w:p>
        </w:tc>
        <w:tc>
          <w:tcPr>
            <w:tcW w:type="dxa" w:w="1184"/>
            <w:vAlign w:val="top"/>
          </w:tcPr>
          <w:p>
            <w:r>
              <w:rPr>
                <w:sz w:val="12"/>
              </w:rPr>
              <w:t>agentic</w:t>
            </w:r>
          </w:p>
        </w:tc>
      </w:tr>
      <w:tr>
        <w:tc>
          <w:tcPr>
            <w:tcW w:type="dxa" w:w="1184"/>
            <w:vAlign w:val="top"/>
          </w:tcPr>
          <w:p>
            <w:r>
              <w:rPr>
                <w:sz w:val="12"/>
              </w:rPr>
              <w:t>erhabor_measuring_2024</w:t>
            </w:r>
          </w:p>
        </w:tc>
        <w:tc>
          <w:tcPr>
            <w:tcW w:type="dxa" w:w="1184"/>
            <w:vAlign w:val="top"/>
          </w:tcPr>
          <w:p>
            <w:r>
              <w:rPr>
                <w:sz w:val="12"/>
              </w:rPr>
              <w:t>2024</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Copilot-assisted C++ work was evaluated through runtime performance, showing that workflow integration must include performance validation rather than only functional acceptance.</w:t>
            </w:r>
          </w:p>
        </w:tc>
        <w:tc>
          <w:tcPr>
            <w:tcW w:type="dxa" w:w="1184"/>
            <w:vAlign w:val="top"/>
          </w:tcPr>
          <w:p>
            <w:r>
              <w:rPr>
                <w:sz w:val="12"/>
              </w:rPr>
              <w:t>Controlled experiment; runtime performance</w:t>
            </w:r>
          </w:p>
        </w:tc>
        <w:tc>
          <w:tcPr>
            <w:tcW w:type="dxa" w:w="1184"/>
            <w:vAlign w:val="top"/>
          </w:tcPr>
          <w:p>
            <w:r>
              <w:rPr>
                <w:sz w:val="12"/>
              </w:rPr>
              <w:t>Mixed: performance must be checked</w:t>
            </w:r>
          </w:p>
        </w:tc>
        <w:tc>
          <w:tcPr>
            <w:tcW w:type="dxa" w:w="1184"/>
            <w:vAlign w:val="top"/>
          </w:tcPr>
          <w:p>
            <w:r>
              <w:rPr>
                <w:sz w:val="12"/>
              </w:rPr>
              <w:t>Results, pp. 4-8</w:t>
            </w:r>
          </w:p>
        </w:tc>
        <w:tc>
          <w:tcPr>
            <w:tcW w:type="dxa" w:w="1184"/>
            <w:vAlign w:val="top"/>
          </w:tcPr>
          <w:p>
            <w:r>
              <w:rPr>
                <w:sz w:val="12"/>
              </w:rPr>
              <w:t>solo</w:t>
            </w:r>
          </w:p>
        </w:tc>
      </w:tr>
      <w:tr>
        <w:tc>
          <w:tcPr>
            <w:tcW w:type="dxa" w:w="1184"/>
            <w:vAlign w:val="top"/>
          </w:tcPr>
          <w:p>
            <w:r>
              <w:rPr>
                <w:sz w:val="12"/>
              </w:rPr>
              <w:t>surk_reducing_2026</w:t>
            </w:r>
          </w:p>
        </w:tc>
        <w:tc>
          <w:tcPr>
            <w:tcW w:type="dxa" w:w="1184"/>
            <w:vAlign w:val="top"/>
          </w:tcPr>
          <w:p>
            <w:r>
              <w:rPr>
                <w:sz w:val="12"/>
              </w:rPr>
              <w:t>2026</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An LLM-based reverse-engineering framework reduced information asymmetry for product management by translating technical artefacts into product-level understanding.</w:t>
            </w:r>
          </w:p>
        </w:tc>
        <w:tc>
          <w:tcPr>
            <w:tcW w:type="dxa" w:w="1184"/>
            <w:vAlign w:val="top"/>
          </w:tcPr>
          <w:p>
            <w:r>
              <w:rPr>
                <w:sz w:val="12"/>
              </w:rPr>
              <w:t>Framework evaluation / case evidence</w:t>
            </w:r>
          </w:p>
        </w:tc>
        <w:tc>
          <w:tcPr>
            <w:tcW w:type="dxa" w:w="1184"/>
            <w:vAlign w:val="top"/>
          </w:tcPr>
          <w:p>
            <w:r>
              <w:rPr>
                <w:sz w:val="12"/>
              </w:rPr>
              <w:t>Positive for cross-role coordination</w:t>
            </w:r>
          </w:p>
        </w:tc>
        <w:tc>
          <w:tcPr>
            <w:tcW w:type="dxa" w:w="1184"/>
            <w:vAlign w:val="top"/>
          </w:tcPr>
          <w:p>
            <w:r>
              <w:rPr>
                <w:sz w:val="12"/>
              </w:rPr>
              <w:t>Results/Discussion, pp. 8-16</w:t>
            </w:r>
          </w:p>
        </w:tc>
        <w:tc>
          <w:tcPr>
            <w:tcW w:type="dxa" w:w="1184"/>
            <w:vAlign w:val="top"/>
          </w:tcPr>
          <w:p>
            <w:r>
              <w:rPr>
                <w:sz w:val="12"/>
              </w:rPr>
              <w:t>organisational</w:t>
            </w:r>
          </w:p>
        </w:tc>
      </w:tr>
      <w:tr>
        <w:tc>
          <w:tcPr>
            <w:tcW w:type="dxa" w:w="1184"/>
            <w:vAlign w:val="top"/>
          </w:tcPr>
          <w:p>
            <w:r>
              <w:rPr>
                <w:sz w:val="12"/>
              </w:rPr>
              <w:t>suryavanshi_effects_2025</w:t>
            </w:r>
          </w:p>
        </w:tc>
        <w:tc>
          <w:tcPr>
            <w:tcW w:type="dxa" w:w="1184"/>
            <w:vAlign w:val="top"/>
          </w:tcPr>
          <w:p>
            <w:r>
              <w:rPr>
                <w:sz w:val="12"/>
              </w:rPr>
              <w:t>2025</w:t>
            </w:r>
          </w:p>
        </w:tc>
        <w:tc>
          <w:tcPr>
            <w:tcW w:type="dxa" w:w="1184"/>
            <w:vAlign w:val="top"/>
          </w:tcPr>
          <w:p>
            <w:r>
              <w:rPr>
                <w:sz w:val="12"/>
              </w:rPr>
              <w:t>B</w:t>
            </w:r>
          </w:p>
        </w:tc>
        <w:tc>
          <w:tcPr>
            <w:tcW w:type="dxa" w:w="1184"/>
            <w:vAlign w:val="top"/>
          </w:tcPr>
          <w:p>
            <w:r>
              <w:rPr>
                <w:sz w:val="12"/>
              </w:rPr>
              <w:t>SUPPORTING</w:t>
            </w:r>
          </w:p>
        </w:tc>
        <w:tc>
          <w:tcPr>
            <w:tcW w:type="dxa" w:w="1184"/>
            <w:vAlign w:val="top"/>
          </w:tcPr>
          <w:p>
            <w:r>
              <w:rPr>
                <w:sz w:val="12"/>
              </w:rPr>
              <w:t>Copilot adoption was associated with perceived productivity benefits, but also concerns around dependency, quality, and developer skill development.</w:t>
            </w:r>
          </w:p>
        </w:tc>
        <w:tc>
          <w:tcPr>
            <w:tcW w:type="dxa" w:w="1184"/>
            <w:vAlign w:val="top"/>
          </w:tcPr>
          <w:p>
            <w:r>
              <w:rPr>
                <w:sz w:val="12"/>
              </w:rPr>
              <w:t>Repository/qualitative study</w:t>
            </w:r>
          </w:p>
        </w:tc>
        <w:tc>
          <w:tcPr>
            <w:tcW w:type="dxa" w:w="1184"/>
            <w:vAlign w:val="top"/>
          </w:tcPr>
          <w:p>
            <w:r>
              <w:rPr>
                <w:sz w:val="12"/>
              </w:rPr>
              <w:t>Mixed: adoption with resistance factors</w:t>
            </w:r>
          </w:p>
        </w:tc>
        <w:tc>
          <w:tcPr>
            <w:tcW w:type="dxa" w:w="1184"/>
            <w:vAlign w:val="top"/>
          </w:tcPr>
          <w:p>
            <w:r>
              <w:rPr>
                <w:sz w:val="12"/>
              </w:rPr>
              <w:t>Results/Discussion, pp. 4-9</w:t>
            </w:r>
          </w:p>
        </w:tc>
        <w:tc>
          <w:tcPr>
            <w:tcW w:type="dxa" w:w="1184"/>
            <w:vAlign w:val="top"/>
          </w:tcPr>
          <w:p>
            <w:r>
              <w:rPr>
                <w:sz w:val="12"/>
              </w:rPr>
              <w:t>solo / team</w:t>
            </w:r>
          </w:p>
        </w:tc>
      </w:tr>
      <w:tr>
        <w:tc>
          <w:tcPr>
            <w:tcW w:type="dxa" w:w="1184"/>
            <w:vAlign w:val="top"/>
          </w:tcPr>
          <w:p>
            <w:r>
              <w:rPr>
                <w:sz w:val="12"/>
              </w:rPr>
              <w:t>jin_can_2024</w:t>
            </w:r>
          </w:p>
        </w:tc>
        <w:tc>
          <w:tcPr>
            <w:tcW w:type="dxa" w:w="1184"/>
            <w:vAlign w:val="top"/>
          </w:tcPr>
          <w:p>
            <w:r>
              <w:rPr>
                <w:sz w:val="12"/>
              </w:rPr>
              <w:t>2024</w:t>
            </w:r>
          </w:p>
        </w:tc>
        <w:tc>
          <w:tcPr>
            <w:tcW w:type="dxa" w:w="1184"/>
            <w:vAlign w:val="top"/>
          </w:tcPr>
          <w:p>
            <w:r>
              <w:rPr>
                <w:sz w:val="12"/>
              </w:rPr>
              <w:t>A1</w:t>
            </w:r>
          </w:p>
        </w:tc>
        <w:tc>
          <w:tcPr>
            <w:tcW w:type="dxa" w:w="1184"/>
            <w:vAlign w:val="top"/>
          </w:tcPr>
          <w:p>
            <w:r>
              <w:rPr>
                <w:sz w:val="12"/>
              </w:rPr>
              <w:t>SUPPORTING</w:t>
            </w:r>
          </w:p>
        </w:tc>
        <w:tc>
          <w:tcPr>
            <w:tcW w:type="dxa" w:w="1184"/>
            <w:vAlign w:val="top"/>
          </w:tcPr>
          <w:p>
            <w:r>
              <w:rPr>
                <w:sz w:val="12"/>
              </w:rPr>
              <w:t>ChatGPT support for developers varied by programming task, reinforcing that interaction value depends on task type and the need for developer-led verification.</w:t>
            </w:r>
          </w:p>
        </w:tc>
        <w:tc>
          <w:tcPr>
            <w:tcW w:type="dxa" w:w="1184"/>
            <w:vAlign w:val="top"/>
          </w:tcPr>
          <w:p>
            <w:r>
              <w:rPr>
                <w:sz w:val="12"/>
              </w:rPr>
              <w:t>Empirical evaluation across code-generation tasks</w:t>
            </w:r>
          </w:p>
        </w:tc>
        <w:tc>
          <w:tcPr>
            <w:tcW w:type="dxa" w:w="1184"/>
            <w:vAlign w:val="top"/>
          </w:tcPr>
          <w:p>
            <w:r>
              <w:rPr>
                <w:sz w:val="12"/>
              </w:rPr>
              <w:t>Mixed: task-dependent support</w:t>
            </w:r>
          </w:p>
        </w:tc>
        <w:tc>
          <w:tcPr>
            <w:tcW w:type="dxa" w:w="1184"/>
            <w:vAlign w:val="top"/>
          </w:tcPr>
          <w:p>
            <w:r>
              <w:rPr>
                <w:sz w:val="12"/>
              </w:rPr>
              <w:t>Results, pp. 5-11</w:t>
            </w:r>
          </w:p>
        </w:tc>
        <w:tc>
          <w:tcPr>
            <w:tcW w:type="dxa" w:w="1184"/>
            <w:vAlign w:val="top"/>
          </w:tcPr>
          <w:p>
            <w:r>
              <w:rPr>
                <w:sz w:val="12"/>
              </w:rPr>
              <w:t>solo</w:t>
            </w:r>
          </w:p>
        </w:tc>
      </w:tr>
      <w:tr>
        <w:tc>
          <w:tcPr>
            <w:tcW w:type="dxa" w:w="1184"/>
            <w:vAlign w:val="top"/>
          </w:tcPr>
          <w:p>
            <w:r>
              <w:rPr>
                <w:sz w:val="12"/>
              </w:rPr>
              <w:t>shirafuji_exploring_2023</w:t>
            </w:r>
          </w:p>
        </w:tc>
        <w:tc>
          <w:tcPr>
            <w:tcW w:type="dxa" w:w="1184"/>
            <w:vAlign w:val="top"/>
          </w:tcPr>
          <w:p>
            <w:r>
              <w:rPr>
                <w:sz w:val="12"/>
              </w:rPr>
              <w:t>2023</w:t>
            </w:r>
          </w:p>
        </w:tc>
        <w:tc>
          <w:tcPr>
            <w:tcW w:type="dxa" w:w="1184"/>
            <w:vAlign w:val="top"/>
          </w:tcPr>
          <w:p>
            <w:r>
              <w:rPr>
                <w:sz w:val="12"/>
              </w:rPr>
              <w:t>A1</w:t>
            </w:r>
          </w:p>
        </w:tc>
        <w:tc>
          <w:tcPr>
            <w:tcW w:type="dxa" w:w="1184"/>
            <w:vAlign w:val="top"/>
          </w:tcPr>
          <w:p>
            <w:r>
              <w:rPr>
                <w:sz w:val="12"/>
              </w:rPr>
              <w:t>SUPPORTING</w:t>
            </w:r>
          </w:p>
        </w:tc>
        <w:tc>
          <w:tcPr>
            <w:tcW w:type="dxa" w:w="1184"/>
            <w:vAlign w:val="top"/>
          </w:tcPr>
          <w:p>
            <w:r>
              <w:rPr>
                <w:sz w:val="12"/>
              </w:rPr>
              <w:t>Robustness testing showed LLM programming performance can change under prompt variations, implying that workflow integration depends on prompt sensitivity and repeated checking.</w:t>
            </w:r>
          </w:p>
        </w:tc>
        <w:tc>
          <w:tcPr>
            <w:tcW w:type="dxa" w:w="1184"/>
            <w:vAlign w:val="top"/>
          </w:tcPr>
          <w:p>
            <w:r>
              <w:rPr>
                <w:sz w:val="12"/>
              </w:rPr>
              <w:t>Benchmark robustness evaluation</w:t>
            </w:r>
          </w:p>
        </w:tc>
        <w:tc>
          <w:tcPr>
            <w:tcW w:type="dxa" w:w="1184"/>
            <w:vAlign w:val="top"/>
          </w:tcPr>
          <w:p>
            <w:r>
              <w:rPr>
                <w:sz w:val="12"/>
              </w:rPr>
              <w:t>Negative/mixed: prompt sensitivity</w:t>
            </w:r>
          </w:p>
        </w:tc>
        <w:tc>
          <w:tcPr>
            <w:tcW w:type="dxa" w:w="1184"/>
            <w:vAlign w:val="top"/>
          </w:tcPr>
          <w:p>
            <w:r>
              <w:rPr>
                <w:sz w:val="12"/>
              </w:rPr>
              <w:t>Results/Discussion, pp. 4-9</w:t>
            </w:r>
          </w:p>
        </w:tc>
        <w:tc>
          <w:tcPr>
            <w:tcW w:type="dxa" w:w="1184"/>
            <w:vAlign w:val="top"/>
          </w:tcPr>
          <w:p>
            <w:r>
              <w:rPr>
                <w:sz w:val="12"/>
              </w:rPr>
              <w:t>solo</w:t>
            </w:r>
          </w:p>
        </w:tc>
      </w:tr>
      <w:tr>
        <w:tc>
          <w:tcPr>
            <w:tcW w:type="dxa" w:w="1184"/>
            <w:vAlign w:val="top"/>
          </w:tcPr>
          <w:p>
            <w:r>
              <w:rPr>
                <w:sz w:val="12"/>
              </w:rPr>
              <w:t>min_beyond_2024</w:t>
            </w:r>
          </w:p>
        </w:tc>
        <w:tc>
          <w:tcPr>
            <w:tcW w:type="dxa" w:w="1184"/>
            <w:vAlign w:val="top"/>
          </w:tcPr>
          <w:p>
            <w:r>
              <w:rPr>
                <w:sz w:val="12"/>
              </w:rPr>
              <w:t>2024</w:t>
            </w:r>
          </w:p>
        </w:tc>
        <w:tc>
          <w:tcPr>
            <w:tcW w:type="dxa" w:w="1184"/>
            <w:vAlign w:val="top"/>
          </w:tcPr>
          <w:p>
            <w:r>
              <w:rPr>
                <w:sz w:val="12"/>
              </w:rPr>
              <w:t>A1</w:t>
            </w:r>
          </w:p>
        </w:tc>
        <w:tc>
          <w:tcPr>
            <w:tcW w:type="dxa" w:w="1184"/>
            <w:vAlign w:val="top"/>
          </w:tcPr>
          <w:p>
            <w:r>
              <w:rPr>
                <w:sz w:val="12"/>
              </w:rPr>
              <w:t>SUPPORTING</w:t>
            </w:r>
          </w:p>
        </w:tc>
        <w:tc>
          <w:tcPr>
            <w:tcW w:type="dxa" w:w="1184"/>
            <w:vAlign w:val="top"/>
          </w:tcPr>
          <w:p>
            <w:r>
              <w:rPr>
                <w:sz w:val="12"/>
              </w:rPr>
              <w:t>Self-consistency evaluation showed that accuracy alone is insufficient for trustworthy use, because developers need stable behaviour across semantically equivalent prompts.</w:t>
            </w:r>
          </w:p>
        </w:tc>
        <w:tc>
          <w:tcPr>
            <w:tcW w:type="dxa" w:w="1184"/>
            <w:vAlign w:val="top"/>
          </w:tcPr>
          <w:p>
            <w:r>
              <w:rPr>
                <w:sz w:val="12"/>
              </w:rPr>
              <w:t>IdentityChain benchmark; self-consistency metrics</w:t>
            </w:r>
          </w:p>
        </w:tc>
        <w:tc>
          <w:tcPr>
            <w:tcW w:type="dxa" w:w="1184"/>
            <w:vAlign w:val="top"/>
          </w:tcPr>
          <w:p>
            <w:r>
              <w:rPr>
                <w:sz w:val="12"/>
              </w:rPr>
              <w:t>Mixed: reliability risk</w:t>
            </w:r>
          </w:p>
        </w:tc>
        <w:tc>
          <w:tcPr>
            <w:tcW w:type="dxa" w:w="1184"/>
            <w:vAlign w:val="top"/>
          </w:tcPr>
          <w:p>
            <w:r>
              <w:rPr>
                <w:sz w:val="12"/>
              </w:rPr>
              <w:t>Experiments/Discussion, pp. 5-10</w:t>
            </w:r>
          </w:p>
        </w:tc>
        <w:tc>
          <w:tcPr>
            <w:tcW w:type="dxa" w:w="1184"/>
            <w:vAlign w:val="top"/>
          </w:tcPr>
          <w:p>
            <w:r>
              <w:rPr>
                <w:sz w:val="12"/>
              </w:rPr>
              <w:t>solo</w:t>
            </w:r>
          </w:p>
        </w:tc>
      </w:tr>
      <w:tr>
        <w:tc>
          <w:tcPr>
            <w:tcW w:type="dxa" w:w="1184"/>
            <w:vAlign w:val="top"/>
          </w:tcPr>
          <w:p>
            <w:r>
              <w:rPr>
                <w:sz w:val="12"/>
              </w:rPr>
              <w:t>qiu_locobench_2025</w:t>
            </w:r>
          </w:p>
        </w:tc>
        <w:tc>
          <w:tcPr>
            <w:tcW w:type="dxa" w:w="1184"/>
            <w:vAlign w:val="top"/>
          </w:tcPr>
          <w:p>
            <w:r>
              <w:rPr>
                <w:sz w:val="12"/>
              </w:rPr>
              <w:t>2025</w:t>
            </w:r>
          </w:p>
        </w:tc>
        <w:tc>
          <w:tcPr>
            <w:tcW w:type="dxa" w:w="1184"/>
            <w:vAlign w:val="top"/>
          </w:tcPr>
          <w:p>
            <w:r>
              <w:rPr>
                <w:sz w:val="12"/>
              </w:rPr>
              <w:t>A2</w:t>
            </w:r>
          </w:p>
        </w:tc>
        <w:tc>
          <w:tcPr>
            <w:tcW w:type="dxa" w:w="1184"/>
            <w:vAlign w:val="top"/>
          </w:tcPr>
          <w:p>
            <w:r>
              <w:rPr>
                <w:sz w:val="12"/>
              </w:rPr>
              <w:t>SUPPORTING</w:t>
            </w:r>
          </w:p>
        </w:tc>
        <w:tc>
          <w:tcPr>
            <w:tcW w:type="dxa" w:w="1184"/>
            <w:vAlign w:val="top"/>
          </w:tcPr>
          <w:p>
            <w:r>
              <w:rPr>
                <w:sz w:val="12"/>
              </w:rPr>
              <w:t>Long-context software-engineering benchmarks highlight project-level interaction demands where models must use extended repository context rather than isolated snippets.</w:t>
            </w:r>
          </w:p>
        </w:tc>
        <w:tc>
          <w:tcPr>
            <w:tcW w:type="dxa" w:w="1184"/>
            <w:vAlign w:val="top"/>
          </w:tcPr>
          <w:p>
            <w:r>
              <w:rPr>
                <w:sz w:val="12"/>
              </w:rPr>
              <w:t>Long-context benchmark evaluation</w:t>
            </w:r>
          </w:p>
        </w:tc>
        <w:tc>
          <w:tcPr>
            <w:tcW w:type="dxa" w:w="1184"/>
            <w:vAlign w:val="top"/>
          </w:tcPr>
          <w:p>
            <w:r>
              <w:rPr>
                <w:sz w:val="12"/>
              </w:rPr>
              <w:t>Mixed: exposes context limitations</w:t>
            </w:r>
          </w:p>
        </w:tc>
        <w:tc>
          <w:tcPr>
            <w:tcW w:type="dxa" w:w="1184"/>
            <w:vAlign w:val="top"/>
          </w:tcPr>
          <w:p>
            <w:r>
              <w:rPr>
                <w:sz w:val="12"/>
              </w:rPr>
              <w:t>Experiments/Discussion, pp. 5-12</w:t>
            </w:r>
          </w:p>
        </w:tc>
        <w:tc>
          <w:tcPr>
            <w:tcW w:type="dxa" w:w="1184"/>
            <w:vAlign w:val="top"/>
          </w:tcPr>
          <w:p>
            <w:r>
              <w:rPr>
                <w:sz w:val="12"/>
              </w:rPr>
              <w:t>agentic / project</w:t>
            </w:r>
          </w:p>
        </w:tc>
      </w:tr>
    </w:tbl>
    <w:p>
      <w:pPr>
        <w:pStyle w:val="Heading1"/>
      </w:pPr>
      <w:r>
        <w:t>2. Analytical narrative</w:t>
      </w:r>
    </w:p>
    <w:p>
      <w:r>
        <w:t>Workflow integration patterns. The SUPPORT evidence depicts AI assistance less as a single prompting event than as a set of situated work practices embedded in editors, repositories, project artefacts, and organisational routines. In-IDE generation is the narrowest pattern: developers formulate natural-language intent, inspect generated code, and decide whether to accept, adapt, or discard it [1]. Copilot-style work similarly appears useful when it accelerates routine implementation, but the workflow remains developer-led because generated code must be checked for correctness, maintainability, and performance [3], [16]. Interview and survey evidence reinforces this conditional integration. Practitioners do not describe assistants as autonomous replacements; they describe them as accelerators that help with scaffolding, boilerplate, explanation, and search-like exploration, while still requiring steering, review, and contextual judgement [4], [11]. Conversation-level evidence extends this picture: ChatGPT is used across multi-language development for explanation, translation, debugging, and implementation queries, indicating a recurrent dialogue with the tool rather than a one-shot request-response pattern [8].</w:t>
      </w:r>
    </w:p>
    <w:p>
      <w:r>
        <w:t>Collaborative dynamics. The SUPPORT corpus offers thinner but important evidence on collaboration. Imai’s comparison with human pair programming suggests that Copilot can imitate some surface features of a pair, especially rapid suggestion of code, but it does not reproduce the reciprocal reasoning, shared accountability, and mutual learning of a human partner [2]. Project-based and team studies nuance this finding. In software-engineering projects, developers’ use of LLMs varies with task type, confidence, and perceived risk, which means that team adoption is uneven rather than automatic [9]. ChatGPT in issue tracking moves interaction beyond the individual programmer: the tool is explored as a support mechanism for understanding, classifying, or responding to repository issues, where usefulness depends on how well generated text fits team coordination practices [6]. Agile epic evaluation shows a similar shift: generative AI can help review project-level artefacts, but the interpretation of quality criteria and prioritisation remains a human team responsibility [14].</w:t>
      </w:r>
    </w:p>
    <w:p>
      <w:r>
        <w:t>Agentic and project-level interaction. Several SUPPORT papers expand the HAI scope from snippet generation to agentic or project-level workflows. Increasing automation changes the developer’s work from writing code directly to specifying goals, monitoring generated outputs, verifying behaviour, and repairing failures [5]. Prompt-driven development with Claude Code provides a concrete example: the artefact is built through iterative prompts, generated files, inspection, and correction rather than through a single generation event [15]. Codebase-generation and long-context studies show why this matters: once the task expands to repositories or complex software projects, context management, consistency, architectural fit, and maintainability become central interaction problems [10], [22]. Reverse-engineering work also broadens the interaction boundary by using LLMs to translate technical artefacts into product-management understanding, thereby mediating between developers and non-developer stakeholders [17].</w:t>
      </w:r>
    </w:p>
    <w:p>
      <w:r>
        <w:t>Adoption, resistance, and organisational factors. The SUPPORT evidence is cautiously positive but not celebratory. Large-scale usability findings report successes, yet they also identify unmet needs around context, controllability, reliability, and integration into real development environments [11], [12]. Public-sector evidence makes the organisational layer explicit: governance, security, policy, skills, and change management condition whether coding assistants can be adopted responsibly [13]. Studies of Copilot adoption similarly point to a tension between perceived productivity benefits and concerns about dependency, quality, and skill development [18]. Finally, benchmark-style SUPPORT evidence adds an interaction warning: ChatGPT support varies by task [19], prompt variations can change programming performance [20], and self-consistency cannot be assumed even when outputs look plausible [21]. Taken together, Phase 1.2 shows that workflow integration is best understood as mediated delegation: AI tools can accelerate or extend development work, but their value depends on human framing, contextualisation, verification, and organisational control.</w:t>
      </w:r>
    </w:p>
    <w:p>
      <w:pPr>
        <w:pStyle w:val="Heading1"/>
      </w:pPr>
      <w:r>
        <w:t>3. Triangulation note</w:t>
      </w:r>
    </w:p>
    <w:p>
      <w:r>
        <w:t>These SUPPORT findings extend the CORE account of prompting by showing that prompting is not merely a micro-level skill for eliciting better completions. In the SUPPORT corpus, prompts become workflow instruments: they specify tasks for agentic tools, carry repository or project context, mediate cross-role communication, and trigger cycles of inspection and repair. The evidence therefore confirms the CORE emphasis on prompt formulation and iterative refinement, but nuances it by locating prompting inside broader socio-technical routines: pair-like interaction, team coordination, project artefact review, long-context work, and organisational governance. Coverage is strongest for solo and mixed developer workflows and thinner for mature team-level or enterprise longitudinal adoption, so the conclusions should be treated as triangulating rather than definitive.</w:t>
      </w:r>
    </w:p>
    <w:p>
      <w:pPr>
        <w:pStyle w:val="Heading1"/>
      </w:pPr>
      <w:r>
        <w:t>4. References</w:t>
      </w:r>
    </w:p>
    <w:p>
      <w:r>
        <w:t>[1] In-IDE Code Generation from Natural Language: Promise and Challenges. Xu, Frank F.; Vasilescu, Bogdan; Neubig, Graham, 2022. Bibkey: xu_-ide_2022.</w:t>
      </w:r>
    </w:p>
    <w:p>
      <w:r>
        <w:t>[2] Is GitHub Copilot a Substitute for Human Pair-programming? An Empirical Study. Imai, Saki, 2022. Bibkey: imai_is_2022.</w:t>
      </w:r>
    </w:p>
    <w:p>
      <w:r>
        <w:t>[3] GitHub Copilot AI Pair Programmer: Asset or Liability?. Dakhel, Arghavan Moradi; Majdinasab, Vahid; Nikanjam, Amin; Khomh, Foutse; Desmarais, Michel C.; Jiang, Zhen Ming, 2023. Bibkey: dakhel_github_2023.</w:t>
      </w:r>
    </w:p>
    <w:p>
      <w:r>
        <w:t>[4] "You're on a bicycle with a little motor": Benefits and Challenges of Using AI Code Assistants. Mendes, Wendy; Souza, Samara; De Souza, Cleidson, 2024. Bibkey: mendes_youre_2024.</w:t>
      </w:r>
    </w:p>
    <w:p>
      <w:r>
        <w:t>[5] Code with Me or for Me? How Increasing AI Automation Transforms Developer Workflows. Chen, Valerie; Talwalkar, Ameet; Brennan, Robert; Neubig, Graham, 2025. Bibkey: chen_code_2025.</w:t>
      </w:r>
    </w:p>
    <w:p>
      <w:r>
        <w:t>[6] Investigating the Utility of ChatGPT in the Issue Tracking System: An Exploratory Study. Das, Joy Krishan; Mondal, Saikat; Roy, Chanchal, 2024. Bibkey: das_investigating_2024.</w:t>
      </w:r>
    </w:p>
    <w:p>
      <w:r>
        <w:t>[7] ChatGPT as a Software Development Bot: A Project-based Study. Waseem, Muhammad; Das, Teerath; Ahmad, Aakash; Liang, Peng; Fehmideh, Mahdi; Mikkonen, Tommi, 2024. Bibkey: waseem_chatgpt_2024.</w:t>
      </w:r>
    </w:p>
    <w:p>
      <w:r>
        <w:t>[8] Multi-language Software Development in the LLM Era: Insights from Practitioners' Conversations with ChatGPT. Aguiar, Lucas Almeida; Paixão, Matheus; Carmo, Rafael Augusto Ferreira do; Soares, Edson L.C.; Leal, Antonio; Freitas, Mélanie; Gama, Eliakim, 2024. Bibkey: aguiar_multi-language_2024.</w:t>
      </w:r>
    </w:p>
    <w:p>
      <w:r>
        <w:t>[9] An Empirical Study on Usage and Perceptions of LLMs in a Software Engineering Project. Rasnayaka, Sanka; Wang, Guanlin; Shariffdeen, Ridwan; Iyer, Ganesh Neelakanta, 2024. Bibkey: rasnayaka_empirical_2024.</w:t>
      </w:r>
    </w:p>
    <w:p>
      <w:r>
        <w:t>[10] Exploring the Challenges and Opportunities of AI-assisted Codebase Generation. Eibl, Philipp; Sabouri, Sadra; Chattopadhyay, Souti, 2025. Bibkey: eibl_exploring_2025.</w:t>
      </w:r>
    </w:p>
    <w:p>
      <w:r>
        <w:t>[11] A Large-Scale Survey on the Usability of AI Programming Assistants: Successes and Challenges. Liang, Jenny T.; Yang, Chenyang; Myers, Brad A., 2024. Bibkey: liang_large-scale_2024.</w:t>
      </w:r>
    </w:p>
    <w:p>
      <w:r>
        <w:t>[12] How Far are AI-powered Programming Assistants from Meeting Developers' Needs?. Tan, Xin; Long, Xiao; Ni, Xianjun; Zhu, Yinghao; Jiang, Jing; Zhang, Li, 2024. Bibkey: tan_how_2024.</w:t>
      </w:r>
    </w:p>
    <w:p>
      <w:r>
        <w:t>[13] Harnessing the Potential of Gen-AI Coding Assistants in Public Sector Software Development. Ng, Kevin KB; Fauzi, Liyana; Leow, Leon; Ng, Jaren, 2024. Bibkey: ng_harnessing_2024.</w:t>
      </w:r>
    </w:p>
    <w:p>
      <w:r>
        <w:t>[14] A Case Study Investigating the Role of Generative AI in Quality Evaluations of Epics in Agile Software Development. Geyer, Werner; He, Jessic; Sarkar, Daita; Brachman, Michelle; Hammond, Chris; Heins, Jennifer; Ashktorab, Zahra; Rosemberg, Carlos; Hill, Charlie, 2025. Bibkey: geyer_case_2025.</w:t>
      </w:r>
    </w:p>
    <w:p>
      <w:r>
        <w:t>[15] Prompt-Driven Development with Claude Code: Developing a TUI Framework for the Ring Programming Language. Fayed, Mahmoud Samir; Fayed, Ahmed Samir, 2026. Bibkey: fayed_prompt-driven_2026.</w:t>
      </w:r>
    </w:p>
    <w:p>
      <w:r>
        <w:t>[16] Measuring the Runtime Performance of C++ Code Written by Humans using GitHub Copilot. Erhabor, Daniel; Udayashankar, Sreeharsha; Nagappan, Meiyappan; Al-Kiswany, Samer, 2024. Bibkey: erhabor_measuring_2024.</w:t>
      </w:r>
    </w:p>
    <w:p>
      <w:r>
        <w:t>[17] Reducing Information Asymmetry in Software Product Management: An LLM-Based Reverse Engineering Framework. Surk, Emre; Menekşe Dalveren, Gonca Gökçe; Mohammad, Derawi, 2026. Bibkey: surk_reducing_2026.</w:t>
      </w:r>
    </w:p>
    <w:p>
      <w:r>
        <w:t>[18] The Effects of AI-Assisted Programming in Software Engineering: A Study on GitHub Copilot. Suryavanshi, Pradnya Niwas; Jadhav, Dr Ramesh D, 2025. Bibkey: suryavanshi_effects_2025.</w:t>
      </w:r>
    </w:p>
    <w:p>
      <w:r>
        <w:t>[19] Can ChatGPT Support Developers? An Empirical Evaluation of Large Language Models for Code Generation. Jin, Kailun; Wang, Chung-Yu; Pham, Hung Viet; Hemmati, Hadi, 2024. Bibkey: jin_can_2024.</w:t>
      </w:r>
    </w:p>
    <w:p>
      <w:r>
        <w:t>[20] Exploring the Robustness of Large Language Models for Solving Programming Problems. Shirafuji, Atsushi; Watanobe, Yutaka; Ito, Takumi; Morishita, Makoto; Nakamura, Yuki; Oda, Yusuke; Suzuki, Jun, 2023. Bibkey: shirafuji_exploring_2023.</w:t>
      </w:r>
    </w:p>
    <w:p>
      <w:r>
        <w:t>[21] Beyond Accuracy: Evaluating Self-Consistency of Code Large Language Models with IdentityChain. Min, Marcus J.; Ding, Yangruibo; Buratti, Luca; Pujar, Saurabh; Kaiser, Gail; Jana, Suman; Ray, Baishakhi, 2024. Bibkey: min_beyond_2024.</w:t>
      </w:r>
    </w:p>
    <w:p>
      <w:r>
        <w:t>[22] LoCoBench: A Benchmark for Long-Context Large Language Models in Complex Software Engineering. Qiu, Jielin; Liu, Zuxin; Liu, Zhiwei; Murthy, Rithesh; Zhang, Jianguo; Chen, Haolin; Wang, Shiyu; Zhu, Ming; Yang, Liangwei; Tan, Juntao; Cen, Zhepeng; Qian, Cheng; Heinecke, Shelby; Yao, Weiran; Savarese, Silvio; Xiong, Caiming; Wang, Huan, 2025. Bibkey: qiu_locobench_2025.</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