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1.3 — NB4 HAI SUPPORT: Trust, Verification, and Reliance Behaviour</w:t>
      </w:r>
    </w:p>
    <w:p>
      <w:r>
        <w:rPr>
          <w:b/>
        </w:rPr>
        <w:t xml:space="preserve">Scope and validation note. </w:t>
      </w:r>
      <w:r>
        <w:t>Bibkeys were verified literally against NB4_HAI_Support.bib. Quality tiers were taken from column S of Relación de Estudios.xlsx, and segment status from the workbook segment field. Only SUPPORTING papers are used as evidence; no REMOVE_CANDIDATE papers are cited. The matrix records findings extracted from Results, Findings, Evaluation, RQ, or Discussion-oriented parts of the PDFs; coverage is strongest for verification behaviour and security-specific validation, and thinner for explicit under-reliance.</w:t>
      </w:r>
    </w:p>
    <w:p>
      <w:pPr>
        <w:pStyle w:val="Heading1"/>
      </w:pPr>
      <w:r>
        <w:t>1. Evidence matrix</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top"/>
          </w:tcPr>
          <w:p>
            <w:r>
              <w:rPr>
                <w:b/>
                <w:sz w:val="14"/>
              </w:rPr>
              <w:t>Bibkey</w:t>
            </w:r>
          </w:p>
        </w:tc>
        <w:tc>
          <w:tcPr>
            <w:tcW w:type="dxa" w:w="1184"/>
            <w:vAlign w:val="top"/>
          </w:tcPr>
          <w:p>
            <w:r>
              <w:rPr>
                <w:b/>
                <w:sz w:val="14"/>
              </w:rPr>
              <w:t>Year</w:t>
            </w:r>
          </w:p>
        </w:tc>
        <w:tc>
          <w:tcPr>
            <w:tcW w:type="dxa" w:w="1184"/>
            <w:vAlign w:val="top"/>
          </w:tcPr>
          <w:p>
            <w:r>
              <w:rPr>
                <w:b/>
                <w:sz w:val="14"/>
              </w:rPr>
              <w:t>Quality tier</w:t>
            </w:r>
          </w:p>
        </w:tc>
        <w:tc>
          <w:tcPr>
            <w:tcW w:type="dxa" w:w="1184"/>
            <w:vAlign w:val="top"/>
          </w:tcPr>
          <w:p>
            <w:r>
              <w:rPr>
                <w:b/>
                <w:sz w:val="14"/>
              </w:rPr>
              <w:t>Segment</w:t>
            </w:r>
          </w:p>
        </w:tc>
        <w:tc>
          <w:tcPr>
            <w:tcW w:type="dxa" w:w="1184"/>
            <w:vAlign w:val="top"/>
          </w:tcPr>
          <w:p>
            <w:r>
              <w:rPr>
                <w:b/>
                <w:sz w:val="14"/>
              </w:rPr>
              <w:t>Key finding</w:t>
            </w:r>
          </w:p>
        </w:tc>
        <w:tc>
          <w:tcPr>
            <w:tcW w:type="dxa" w:w="1184"/>
            <w:vAlign w:val="top"/>
          </w:tcPr>
          <w:p>
            <w:r>
              <w:rPr>
                <w:b/>
                <w:sz w:val="14"/>
              </w:rPr>
              <w:t>Metric/value</w:t>
            </w:r>
          </w:p>
        </w:tc>
        <w:tc>
          <w:tcPr>
            <w:tcW w:type="dxa" w:w="1184"/>
            <w:vAlign w:val="top"/>
          </w:tcPr>
          <w:p>
            <w:r>
              <w:rPr>
                <w:b/>
                <w:sz w:val="14"/>
              </w:rPr>
              <w:t>Directionality</w:t>
            </w:r>
          </w:p>
        </w:tc>
        <w:tc>
          <w:tcPr>
            <w:tcW w:type="dxa" w:w="1184"/>
            <w:vAlign w:val="top"/>
          </w:tcPr>
          <w:p>
            <w:r>
              <w:rPr>
                <w:b/>
                <w:sz w:val="14"/>
              </w:rPr>
              <w:t>PDF section + page</w:t>
            </w:r>
          </w:p>
        </w:tc>
        <w:tc>
          <w:tcPr>
            <w:tcW w:type="dxa" w:w="1184"/>
            <w:vAlign w:val="top"/>
          </w:tcPr>
          <w:p>
            <w:r>
              <w:rPr>
                <w:b/>
                <w:sz w:val="14"/>
              </w:rPr>
              <w:t>Trust dimension</w:t>
            </w:r>
          </w:p>
        </w:tc>
      </w:tr>
      <w:tr>
        <w:tc>
          <w:tcPr>
            <w:tcW w:type="dxa" w:w="1184"/>
            <w:vAlign w:val="top"/>
          </w:tcPr>
          <w:p>
            <w:r>
              <w:rPr>
                <w:sz w:val="13"/>
              </w:rPr>
              <w:t>vaithilingam_expectation_2022</w:t>
            </w:r>
          </w:p>
        </w:tc>
        <w:tc>
          <w:tcPr>
            <w:tcW w:type="dxa" w:w="1184"/>
            <w:vAlign w:val="top"/>
          </w:tcPr>
          <w:p>
            <w:r>
              <w:rPr>
                <w:sz w:val="13"/>
              </w:rPr>
              <w:t>2022</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Copilot users accepted suggestions when they could inspect and adapt them, but opaque or hard-to-debug completions produced either blind acceptance or abandonment.</w:t>
            </w:r>
          </w:p>
        </w:tc>
        <w:tc>
          <w:tcPr>
            <w:tcW w:type="dxa" w:w="1184"/>
            <w:vAlign w:val="top"/>
          </w:tcPr>
          <w:p>
            <w:r>
              <w:rPr>
                <w:sz w:val="13"/>
              </w:rPr>
              <w:t>P8 “I guess I will take its word”; P6 discarded a generated function after debugging difficulty.</w:t>
            </w:r>
          </w:p>
        </w:tc>
        <w:tc>
          <w:tcPr>
            <w:tcW w:type="dxa" w:w="1184"/>
            <w:vAlign w:val="top"/>
          </w:tcPr>
          <w:p>
            <w:r>
              <w:rPr>
                <w:sz w:val="13"/>
              </w:rPr>
              <w:t>Mixed: trust may form through perceived usefulness but becomes fragile when verification is difficult.</w:t>
            </w:r>
          </w:p>
        </w:tc>
        <w:tc>
          <w:tcPr>
            <w:tcW w:type="dxa" w:w="1184"/>
            <w:vAlign w:val="top"/>
          </w:tcPr>
          <w:p>
            <w:r>
              <w:rPr>
                <w:sz w:val="13"/>
              </w:rPr>
              <w:t>Findings / Discussion, pp. 5-7</w:t>
            </w:r>
          </w:p>
        </w:tc>
        <w:tc>
          <w:tcPr>
            <w:tcW w:type="dxa" w:w="1184"/>
            <w:vAlign w:val="top"/>
          </w:tcPr>
          <w:p>
            <w:r>
              <w:rPr>
                <w:sz w:val="13"/>
              </w:rPr>
              <w:t>trust formation; over-reliance; under-reliance</w:t>
            </w:r>
          </w:p>
        </w:tc>
      </w:tr>
      <w:tr>
        <w:tc>
          <w:tcPr>
            <w:tcW w:type="dxa" w:w="1184"/>
            <w:vAlign w:val="top"/>
          </w:tcPr>
          <w:p>
            <w:r>
              <w:rPr>
                <w:sz w:val="13"/>
              </w:rPr>
              <w:t>liang_large-scale_2024</w:t>
            </w:r>
          </w:p>
        </w:tc>
        <w:tc>
          <w:tcPr>
            <w:tcW w:type="dxa" w:w="1184"/>
            <w:vAlign w:val="top"/>
          </w:tcPr>
          <w:p>
            <w:r>
              <w:rPr>
                <w:sz w:val="13"/>
              </w:rPr>
              <w:t>2024</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The large survey identifies verification, documentation lookup, and debugging as recurring extra work associated with AI programming assistants.</w:t>
            </w:r>
          </w:p>
        </w:tc>
        <w:tc>
          <w:tcPr>
            <w:tcW w:type="dxa" w:w="1184"/>
            <w:vAlign w:val="top"/>
          </w:tcPr>
          <w:p>
            <w:r>
              <w:rPr>
                <w:sz w:val="13"/>
              </w:rPr>
              <w:t>Survey evidence reports additional effort around verifying suggestions, looking up documentation, and debugging code.</w:t>
            </w:r>
          </w:p>
        </w:tc>
        <w:tc>
          <w:tcPr>
            <w:tcW w:type="dxa" w:w="1184"/>
            <w:vAlign w:val="top"/>
          </w:tcPr>
          <w:p>
            <w:r>
              <w:rPr>
                <w:sz w:val="13"/>
              </w:rPr>
              <w:t>Negative: usefulness is conditional on post-generation verification labour.</w:t>
            </w:r>
          </w:p>
        </w:tc>
        <w:tc>
          <w:tcPr>
            <w:tcW w:type="dxa" w:w="1184"/>
            <w:vAlign w:val="top"/>
          </w:tcPr>
          <w:p>
            <w:r>
              <w:rPr>
                <w:sz w:val="13"/>
              </w:rPr>
              <w:t>Results / Usability challenges, pp. 6-9</w:t>
            </w:r>
          </w:p>
        </w:tc>
        <w:tc>
          <w:tcPr>
            <w:tcW w:type="dxa" w:w="1184"/>
            <w:vAlign w:val="top"/>
          </w:tcPr>
          <w:p>
            <w:r>
              <w:rPr>
                <w:sz w:val="13"/>
              </w:rPr>
              <w:t>verification behaviour</w:t>
            </w:r>
          </w:p>
        </w:tc>
      </w:tr>
      <w:tr>
        <w:tc>
          <w:tcPr>
            <w:tcW w:type="dxa" w:w="1184"/>
            <w:vAlign w:val="top"/>
          </w:tcPr>
          <w:p>
            <w:r>
              <w:rPr>
                <w:sz w:val="13"/>
              </w:rPr>
              <w:t>tan_how_2024</w:t>
            </w:r>
          </w:p>
        </w:tc>
        <w:tc>
          <w:tcPr>
            <w:tcW w:type="dxa" w:w="1184"/>
            <w:vAlign w:val="top"/>
          </w:tcPr>
          <w:p>
            <w:r>
              <w:rPr>
                <w:sz w:val="13"/>
              </w:rPr>
              <w:t>2024</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Developers’ needs are not met by raw completion alone: usefulness depends on context fit, accuracy, and explainability sufficient for developers to decide whether to accept suggestions.</w:t>
            </w:r>
          </w:p>
        </w:tc>
        <w:tc>
          <w:tcPr>
            <w:tcW w:type="dxa" w:w="1184"/>
            <w:vAlign w:val="top"/>
          </w:tcPr>
          <w:p>
            <w:r>
              <w:rPr>
                <w:sz w:val="13"/>
              </w:rPr>
              <w:t>Controlled/mixed-methods evaluation; acceptance constrained by unmet needs and contextual mismatch.</w:t>
            </w:r>
          </w:p>
        </w:tc>
        <w:tc>
          <w:tcPr>
            <w:tcW w:type="dxa" w:w="1184"/>
            <w:vAlign w:val="top"/>
          </w:tcPr>
          <w:p>
            <w:r>
              <w:rPr>
                <w:sz w:val="13"/>
              </w:rPr>
              <w:t>Mixed: assistance is useful but acceptance is selective.</w:t>
            </w:r>
          </w:p>
        </w:tc>
        <w:tc>
          <w:tcPr>
            <w:tcW w:type="dxa" w:w="1184"/>
            <w:vAlign w:val="top"/>
          </w:tcPr>
          <w:p>
            <w:r>
              <w:rPr>
                <w:sz w:val="13"/>
              </w:rPr>
              <w:t>Results and Discussion, pp. 6-11</w:t>
            </w:r>
          </w:p>
        </w:tc>
        <w:tc>
          <w:tcPr>
            <w:tcW w:type="dxa" w:w="1184"/>
            <w:vAlign w:val="top"/>
          </w:tcPr>
          <w:p>
            <w:r>
              <w:rPr>
                <w:sz w:val="13"/>
              </w:rPr>
              <w:t>suggestion acceptance; verification behaviour</w:t>
            </w:r>
          </w:p>
        </w:tc>
      </w:tr>
      <w:tr>
        <w:tc>
          <w:tcPr>
            <w:tcW w:type="dxa" w:w="1184"/>
            <w:vAlign w:val="top"/>
          </w:tcPr>
          <w:p>
            <w:r>
              <w:rPr>
                <w:sz w:val="13"/>
              </w:rPr>
              <w:t>watanabe_use_2024</w:t>
            </w:r>
          </w:p>
        </w:tc>
        <w:tc>
          <w:tcPr>
            <w:tcW w:type="dxa" w:w="1184"/>
            <w:vAlign w:val="top"/>
          </w:tcPr>
          <w:p>
            <w:r>
              <w:rPr>
                <w:sz w:val="13"/>
              </w:rPr>
              <w:t>2024</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In code review, developers did not uniformly welcome ChatGPT reviews; negative reactions often concerned outsourced review behaviour and suggestions that did not fit project context.</w:t>
            </w:r>
          </w:p>
        </w:tc>
        <w:tc>
          <w:tcPr>
            <w:tcW w:type="dxa" w:w="1184"/>
            <w:vAlign w:val="top"/>
          </w:tcPr>
          <w:p>
            <w:r>
              <w:rPr>
                <w:sz w:val="13"/>
              </w:rPr>
              <w:t>65.7% of negative responses were related to “Outsource” categories.</w:t>
            </w:r>
          </w:p>
        </w:tc>
        <w:tc>
          <w:tcPr>
            <w:tcW w:type="dxa" w:w="1184"/>
            <w:vAlign w:val="top"/>
          </w:tcPr>
          <w:p>
            <w:r>
              <w:rPr>
                <w:sz w:val="13"/>
              </w:rPr>
              <w:t>Negative for uncritical reliance; positive only when review comments are context-aware and actionable.</w:t>
            </w:r>
          </w:p>
        </w:tc>
        <w:tc>
          <w:tcPr>
            <w:tcW w:type="dxa" w:w="1184"/>
            <w:vAlign w:val="top"/>
          </w:tcPr>
          <w:p>
            <w:r>
              <w:rPr>
                <w:sz w:val="13"/>
              </w:rPr>
              <w:t>RQ1/RQ2 Findings, pp. 5-8</w:t>
            </w:r>
          </w:p>
        </w:tc>
        <w:tc>
          <w:tcPr>
            <w:tcW w:type="dxa" w:w="1184"/>
            <w:vAlign w:val="top"/>
          </w:tcPr>
          <w:p>
            <w:r>
              <w:rPr>
                <w:sz w:val="13"/>
              </w:rPr>
              <w:t>trust formation; rejection</w:t>
            </w:r>
          </w:p>
        </w:tc>
      </w:tr>
      <w:tr>
        <w:tc>
          <w:tcPr>
            <w:tcW w:type="dxa" w:w="1184"/>
            <w:vAlign w:val="top"/>
          </w:tcPr>
          <w:p>
            <w:r>
              <w:rPr>
                <w:sz w:val="13"/>
              </w:rPr>
              <w:t>rasnayaka_empirical_2024</w:t>
            </w:r>
          </w:p>
        </w:tc>
        <w:tc>
          <w:tcPr>
            <w:tcW w:type="dxa" w:w="1184"/>
            <w:vAlign w:val="top"/>
          </w:tcPr>
          <w:p>
            <w:r>
              <w:rPr>
                <w:sz w:val="13"/>
              </w:rPr>
              <w:t>2024</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Project participants valued LLMs for assistance and learning, but reported reliability concerns and the need to validate outputs before integration.</w:t>
            </w:r>
          </w:p>
        </w:tc>
        <w:tc>
          <w:tcPr>
            <w:tcW w:type="dxa" w:w="1184"/>
            <w:vAlign w:val="top"/>
          </w:tcPr>
          <w:p>
            <w:r>
              <w:rPr>
                <w:sz w:val="13"/>
              </w:rPr>
              <w:t>Survey/interview evidence: perceived usefulness coexists with accuracy and reliability concerns.</w:t>
            </w:r>
          </w:p>
        </w:tc>
        <w:tc>
          <w:tcPr>
            <w:tcW w:type="dxa" w:w="1184"/>
            <w:vAlign w:val="top"/>
          </w:tcPr>
          <w:p>
            <w:r>
              <w:rPr>
                <w:sz w:val="13"/>
              </w:rPr>
              <w:t>Mixed: adoption is moderated by checking and task criticality.</w:t>
            </w:r>
          </w:p>
        </w:tc>
        <w:tc>
          <w:tcPr>
            <w:tcW w:type="dxa" w:w="1184"/>
            <w:vAlign w:val="top"/>
          </w:tcPr>
          <w:p>
            <w:r>
              <w:rPr>
                <w:sz w:val="13"/>
              </w:rPr>
              <w:t>Results / Perceptions, pp. 5-9</w:t>
            </w:r>
          </w:p>
        </w:tc>
        <w:tc>
          <w:tcPr>
            <w:tcW w:type="dxa" w:w="1184"/>
            <w:vAlign w:val="top"/>
          </w:tcPr>
          <w:p>
            <w:r>
              <w:rPr>
                <w:sz w:val="13"/>
              </w:rPr>
              <w:t>trust formation; verification behaviour</w:t>
            </w:r>
          </w:p>
        </w:tc>
      </w:tr>
      <w:tr>
        <w:tc>
          <w:tcPr>
            <w:tcW w:type="dxa" w:w="1184"/>
            <w:vAlign w:val="top"/>
          </w:tcPr>
          <w:p>
            <w:r>
              <w:rPr>
                <w:sz w:val="13"/>
              </w:rPr>
              <w:t>mendes_youre_2024</w:t>
            </w:r>
          </w:p>
        </w:tc>
        <w:tc>
          <w:tcPr>
            <w:tcW w:type="dxa" w:w="1184"/>
            <w:vAlign w:val="top"/>
          </w:tcPr>
          <w:p>
            <w:r>
              <w:rPr>
                <w:sz w:val="13"/>
              </w:rPr>
              <w:t>2024</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Practitioners framed AI assistants as a “little motor” rather than an autonomous driver: they accelerate work but still require human judgement, review, and responsibility.</w:t>
            </w:r>
          </w:p>
        </w:tc>
        <w:tc>
          <w:tcPr>
            <w:tcW w:type="dxa" w:w="1184"/>
            <w:vAlign w:val="top"/>
          </w:tcPr>
          <w:p>
            <w:r>
              <w:rPr>
                <w:sz w:val="13"/>
              </w:rPr>
              <w:t>Qualitative interviews; benefits and challenges organised around assisted rather than delegated work.</w:t>
            </w:r>
          </w:p>
        </w:tc>
        <w:tc>
          <w:tcPr>
            <w:tcW w:type="dxa" w:w="1184"/>
            <w:vAlign w:val="top"/>
          </w:tcPr>
          <w:p>
            <w:r>
              <w:rPr>
                <w:sz w:val="13"/>
              </w:rPr>
              <w:t>Positive for calibrated reliance; negative for autonomous reliance.</w:t>
            </w:r>
          </w:p>
        </w:tc>
        <w:tc>
          <w:tcPr>
            <w:tcW w:type="dxa" w:w="1184"/>
            <w:vAlign w:val="top"/>
          </w:tcPr>
          <w:p>
            <w:r>
              <w:rPr>
                <w:sz w:val="13"/>
              </w:rPr>
              <w:t>Findings / Benefits and challenges, pp. 4-9</w:t>
            </w:r>
          </w:p>
        </w:tc>
        <w:tc>
          <w:tcPr>
            <w:tcW w:type="dxa" w:w="1184"/>
            <w:vAlign w:val="top"/>
          </w:tcPr>
          <w:p>
            <w:r>
              <w:rPr>
                <w:sz w:val="13"/>
              </w:rPr>
              <w:t>reliance calibration; verification behaviour</w:t>
            </w:r>
          </w:p>
        </w:tc>
      </w:tr>
      <w:tr>
        <w:tc>
          <w:tcPr>
            <w:tcW w:type="dxa" w:w="1184"/>
            <w:vAlign w:val="top"/>
          </w:tcPr>
          <w:p>
            <w:r>
              <w:rPr>
                <w:sz w:val="13"/>
              </w:rPr>
              <w:t>sagodi_methodology_2024</w:t>
            </w:r>
          </w:p>
        </w:tc>
        <w:tc>
          <w:tcPr>
            <w:tcW w:type="dxa" w:w="1184"/>
            <w:vAlign w:val="top"/>
          </w:tcPr>
          <w:p>
            <w:r>
              <w:rPr>
                <w:sz w:val="13"/>
              </w:rPr>
              <w:t>2024</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The methodology paper shows that evaluating code assistants requires multi-metric validation because correctness alone does not capture maintainability, complexity, efficiency, and code-size differences.</w:t>
            </w:r>
          </w:p>
        </w:tc>
        <w:tc>
          <w:tcPr>
            <w:tcW w:type="dxa" w:w="1184"/>
            <w:vAlign w:val="top"/>
          </w:tcPr>
          <w:p>
            <w:r>
              <w:rPr>
                <w:sz w:val="13"/>
              </w:rPr>
              <w:t>Compared ChatGPT and Copilot on correctness, McCabe complexity, efficiency, and code size.</w:t>
            </w:r>
          </w:p>
        </w:tc>
        <w:tc>
          <w:tcPr>
            <w:tcW w:type="dxa" w:w="1184"/>
            <w:vAlign w:val="top"/>
          </w:tcPr>
          <w:p>
            <w:r>
              <w:rPr>
                <w:sz w:val="13"/>
              </w:rPr>
              <w:t>Negative for single-metric trust; positive for structured validation.</w:t>
            </w:r>
          </w:p>
        </w:tc>
        <w:tc>
          <w:tcPr>
            <w:tcW w:type="dxa" w:w="1184"/>
            <w:vAlign w:val="top"/>
          </w:tcPr>
          <w:p>
            <w:r>
              <w:rPr>
                <w:sz w:val="13"/>
              </w:rPr>
              <w:t>Results / Case study, pp. 6-13</w:t>
            </w:r>
          </w:p>
        </w:tc>
        <w:tc>
          <w:tcPr>
            <w:tcW w:type="dxa" w:w="1184"/>
            <w:vAlign w:val="top"/>
          </w:tcPr>
          <w:p>
            <w:r>
              <w:rPr>
                <w:sz w:val="13"/>
              </w:rPr>
              <w:t>verification behaviour</w:t>
            </w:r>
          </w:p>
        </w:tc>
      </w:tr>
      <w:tr>
        <w:tc>
          <w:tcPr>
            <w:tcW w:type="dxa" w:w="1184"/>
            <w:vAlign w:val="top"/>
          </w:tcPr>
          <w:p>
            <w:r>
              <w:rPr>
                <w:sz w:val="13"/>
              </w:rPr>
              <w:t>min_beyond_2024</w:t>
            </w:r>
          </w:p>
        </w:tc>
        <w:tc>
          <w:tcPr>
            <w:tcW w:type="dxa" w:w="1184"/>
            <w:vAlign w:val="top"/>
          </w:tcPr>
          <w:p>
            <w:r>
              <w:rPr>
                <w:sz w:val="13"/>
              </w:rPr>
              <w:t>2024</w:t>
            </w:r>
          </w:p>
        </w:tc>
        <w:tc>
          <w:tcPr>
            <w:tcW w:type="dxa" w:w="1184"/>
            <w:vAlign w:val="top"/>
          </w:tcPr>
          <w:p>
            <w:r>
              <w:rPr>
                <w:sz w:val="13"/>
              </w:rPr>
              <w:t>A1</w:t>
            </w:r>
          </w:p>
        </w:tc>
        <w:tc>
          <w:tcPr>
            <w:tcW w:type="dxa" w:w="1184"/>
            <w:vAlign w:val="top"/>
          </w:tcPr>
          <w:p>
            <w:r>
              <w:rPr>
                <w:sz w:val="13"/>
              </w:rPr>
              <w:t>SUPPORTING</w:t>
            </w:r>
          </w:p>
        </w:tc>
        <w:tc>
          <w:tcPr>
            <w:tcW w:type="dxa" w:w="1184"/>
            <w:vAlign w:val="top"/>
          </w:tcPr>
          <w:p>
            <w:r>
              <w:rPr>
                <w:sz w:val="13"/>
              </w:rPr>
              <w:t>Self-consistency is proposed as a trust-relevant property beyond accuracy because semantically equivalent prompts can yield unstable code behaviour.</w:t>
            </w:r>
          </w:p>
        </w:tc>
        <w:tc>
          <w:tcPr>
            <w:tcW w:type="dxa" w:w="1184"/>
            <w:vAlign w:val="top"/>
          </w:tcPr>
          <w:p>
            <w:r>
              <w:rPr>
                <w:sz w:val="13"/>
              </w:rPr>
              <w:t>IdentityChain evaluates self-consistency across code LLMs beyond simple accuracy.</w:t>
            </w:r>
          </w:p>
        </w:tc>
        <w:tc>
          <w:tcPr>
            <w:tcW w:type="dxa" w:w="1184"/>
            <w:vAlign w:val="top"/>
          </w:tcPr>
          <w:p>
            <w:r>
              <w:rPr>
                <w:sz w:val="13"/>
              </w:rPr>
              <w:t>Negative: high apparent accuracy can hide unstable behaviour.</w:t>
            </w:r>
          </w:p>
        </w:tc>
        <w:tc>
          <w:tcPr>
            <w:tcW w:type="dxa" w:w="1184"/>
            <w:vAlign w:val="top"/>
          </w:tcPr>
          <w:p>
            <w:r>
              <w:rPr>
                <w:sz w:val="13"/>
              </w:rPr>
              <w:t>Experiments / Results, pp. 5-10</w:t>
            </w:r>
          </w:p>
        </w:tc>
        <w:tc>
          <w:tcPr>
            <w:tcW w:type="dxa" w:w="1184"/>
            <w:vAlign w:val="top"/>
          </w:tcPr>
          <w:p>
            <w:r>
              <w:rPr>
                <w:sz w:val="13"/>
              </w:rPr>
              <w:t>trust formation; verification behaviour</w:t>
            </w:r>
          </w:p>
        </w:tc>
      </w:tr>
      <w:tr>
        <w:tc>
          <w:tcPr>
            <w:tcW w:type="dxa" w:w="1184"/>
            <w:vAlign w:val="top"/>
          </w:tcPr>
          <w:p>
            <w:r>
              <w:rPr>
                <w:sz w:val="13"/>
              </w:rPr>
              <w:t>haeggstrom_hands-use_2024</w:t>
            </w:r>
          </w:p>
        </w:tc>
        <w:tc>
          <w:tcPr>
            <w:tcW w:type="dxa" w:w="1184"/>
            <w:vAlign w:val="top"/>
          </w:tcPr>
          <w:p>
            <w:r>
              <w:rPr>
                <w:sz w:val="13"/>
              </w:rPr>
              <w:t>2024</w:t>
            </w:r>
          </w:p>
        </w:tc>
        <w:tc>
          <w:tcPr>
            <w:tcW w:type="dxa" w:w="1184"/>
            <w:vAlign w:val="top"/>
          </w:tcPr>
          <w:p>
            <w:r>
              <w:rPr>
                <w:sz w:val="13"/>
              </w:rPr>
              <w:t>B</w:t>
            </w:r>
          </w:p>
        </w:tc>
        <w:tc>
          <w:tcPr>
            <w:tcW w:type="dxa" w:w="1184"/>
            <w:vAlign w:val="top"/>
          </w:tcPr>
          <w:p>
            <w:r>
              <w:rPr>
                <w:sz w:val="13"/>
              </w:rPr>
              <w:t>SUPPORTING</w:t>
            </w:r>
          </w:p>
        </w:tc>
        <w:tc>
          <w:tcPr>
            <w:tcW w:type="dxa" w:w="1184"/>
            <w:vAlign w:val="top"/>
          </w:tcPr>
          <w:p>
            <w:r>
              <w:rPr>
                <w:sz w:val="13"/>
              </w:rPr>
              <w:t>Hands-on practitioner evidence reports adaptation of AI tools through iterative testing, prompt refinement, and selective use rather than blanket trust.</w:t>
            </w:r>
          </w:p>
        </w:tc>
        <w:tc>
          <w:tcPr>
            <w:tcW w:type="dxa" w:w="1184"/>
            <w:vAlign w:val="top"/>
          </w:tcPr>
          <w:p>
            <w:r>
              <w:rPr>
                <w:sz w:val="13"/>
              </w:rPr>
              <w:t>Interview/survey thesis evidence on hands-on use and adaptation.</w:t>
            </w:r>
          </w:p>
        </w:tc>
        <w:tc>
          <w:tcPr>
            <w:tcW w:type="dxa" w:w="1184"/>
            <w:vAlign w:val="top"/>
          </w:tcPr>
          <w:p>
            <w:r>
              <w:rPr>
                <w:sz w:val="13"/>
              </w:rPr>
              <w:t>Mixed: trust grows through repeated successful adaptation, not through tool authority.</w:t>
            </w:r>
          </w:p>
        </w:tc>
        <w:tc>
          <w:tcPr>
            <w:tcW w:type="dxa" w:w="1184"/>
            <w:vAlign w:val="top"/>
          </w:tcPr>
          <w:p>
            <w:r>
              <w:rPr>
                <w:sz w:val="13"/>
              </w:rPr>
              <w:t>Results / Analysis, pp. 30-50</w:t>
            </w:r>
          </w:p>
        </w:tc>
        <w:tc>
          <w:tcPr>
            <w:tcW w:type="dxa" w:w="1184"/>
            <w:vAlign w:val="top"/>
          </w:tcPr>
          <w:p>
            <w:r>
              <w:rPr>
                <w:sz w:val="13"/>
              </w:rPr>
              <w:t>trust formation; suggestion acceptance</w:t>
            </w:r>
          </w:p>
        </w:tc>
      </w:tr>
      <w:tr>
        <w:tc>
          <w:tcPr>
            <w:tcW w:type="dxa" w:w="1184"/>
            <w:vAlign w:val="top"/>
          </w:tcPr>
          <w:p>
            <w:r>
              <w:rPr>
                <w:sz w:val="13"/>
              </w:rPr>
              <w:t>corso_generating_2024</w:t>
            </w:r>
          </w:p>
        </w:tc>
        <w:tc>
          <w:tcPr>
            <w:tcW w:type="dxa" w:w="1184"/>
            <w:vAlign w:val="top"/>
          </w:tcPr>
          <w:p>
            <w:r>
              <w:rPr>
                <w:sz w:val="13"/>
              </w:rPr>
              <w:t>2024</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Across four code assistants, generated Java methods varied by correctness and quality, supporting the need for developer-side validation before acceptance.</w:t>
            </w:r>
          </w:p>
        </w:tc>
        <w:tc>
          <w:tcPr>
            <w:tcW w:type="dxa" w:w="1184"/>
            <w:vAlign w:val="top"/>
          </w:tcPr>
          <w:p>
            <w:r>
              <w:rPr>
                <w:sz w:val="13"/>
              </w:rPr>
              <w:t>Empirical assessment of four assistants on generated Java methods.</w:t>
            </w:r>
          </w:p>
        </w:tc>
        <w:tc>
          <w:tcPr>
            <w:tcW w:type="dxa" w:w="1184"/>
            <w:vAlign w:val="top"/>
          </w:tcPr>
          <w:p>
            <w:r>
              <w:rPr>
                <w:sz w:val="13"/>
              </w:rPr>
              <w:t>Negative for immediate reliance; positive for comparative validation.</w:t>
            </w:r>
          </w:p>
        </w:tc>
        <w:tc>
          <w:tcPr>
            <w:tcW w:type="dxa" w:w="1184"/>
            <w:vAlign w:val="top"/>
          </w:tcPr>
          <w:p>
            <w:r>
              <w:rPr>
                <w:sz w:val="13"/>
              </w:rPr>
              <w:t>Results / Empirical assessment, pp. 5-9</w:t>
            </w:r>
          </w:p>
        </w:tc>
        <w:tc>
          <w:tcPr>
            <w:tcW w:type="dxa" w:w="1184"/>
            <w:vAlign w:val="top"/>
          </w:tcPr>
          <w:p>
            <w:r>
              <w:rPr>
                <w:sz w:val="13"/>
              </w:rPr>
              <w:t>verification behaviour; suggestion acceptance</w:t>
            </w:r>
          </w:p>
        </w:tc>
      </w:tr>
      <w:tr>
        <w:tc>
          <w:tcPr>
            <w:tcW w:type="dxa" w:w="1184"/>
            <w:vAlign w:val="top"/>
          </w:tcPr>
          <w:p>
            <w:r>
              <w:rPr>
                <w:sz w:val="13"/>
              </w:rPr>
              <w:t>madampe_how_2025</w:t>
            </w:r>
          </w:p>
        </w:tc>
        <w:tc>
          <w:tcPr>
            <w:tcW w:type="dxa" w:w="1184"/>
            <w:vAlign w:val="top"/>
          </w:tcPr>
          <w:p>
            <w:r>
              <w:rPr>
                <w:sz w:val="13"/>
              </w:rPr>
              <w:t>2025</w:t>
            </w:r>
          </w:p>
        </w:tc>
        <w:tc>
          <w:tcPr>
            <w:tcW w:type="dxa" w:w="1184"/>
            <w:vAlign w:val="top"/>
          </w:tcPr>
          <w:p>
            <w:r>
              <w:rPr>
                <w:sz w:val="13"/>
              </w:rPr>
              <w:t>B</w:t>
            </w:r>
          </w:p>
        </w:tc>
        <w:tc>
          <w:tcPr>
            <w:tcW w:type="dxa" w:w="1184"/>
            <w:vAlign w:val="top"/>
          </w:tcPr>
          <w:p>
            <w:r>
              <w:rPr>
                <w:sz w:val="13"/>
              </w:rPr>
              <w:t>SUPPORTING</w:t>
            </w:r>
          </w:p>
        </w:tc>
        <w:tc>
          <w:tcPr>
            <w:tcW w:type="dxa" w:w="1184"/>
            <w:vAlign w:val="top"/>
          </w:tcPr>
          <w:p>
            <w:r>
              <w:rPr>
                <w:sz w:val="13"/>
              </w:rPr>
              <w:t>For privacy-related code generation, developers’ experience indicates that AI assistants increase validation burden because generated solutions must be checked against privacy requirements, not just functional correctness.</w:t>
            </w:r>
          </w:p>
        </w:tc>
        <w:tc>
          <w:tcPr>
            <w:tcW w:type="dxa" w:w="1184"/>
            <w:vAlign w:val="top"/>
          </w:tcPr>
          <w:p>
            <w:r>
              <w:rPr>
                <w:sz w:val="13"/>
              </w:rPr>
              <w:t>Developer-experience study focused on privacy-related code generation.</w:t>
            </w:r>
          </w:p>
        </w:tc>
        <w:tc>
          <w:tcPr>
            <w:tcW w:type="dxa" w:w="1184"/>
            <w:vAlign w:val="top"/>
          </w:tcPr>
          <w:p>
            <w:r>
              <w:rPr>
                <w:sz w:val="13"/>
              </w:rPr>
              <w:t>Negative: privacy-sensitive tasks require specialist review.</w:t>
            </w:r>
          </w:p>
        </w:tc>
        <w:tc>
          <w:tcPr>
            <w:tcW w:type="dxa" w:w="1184"/>
            <w:vAlign w:val="top"/>
          </w:tcPr>
          <w:p>
            <w:r>
              <w:rPr>
                <w:sz w:val="13"/>
              </w:rPr>
              <w:t>Findings / Discussion, pp. 5-9</w:t>
            </w:r>
          </w:p>
        </w:tc>
        <w:tc>
          <w:tcPr>
            <w:tcW w:type="dxa" w:w="1184"/>
            <w:vAlign w:val="top"/>
          </w:tcPr>
          <w:p>
            <w:r>
              <w:rPr>
                <w:sz w:val="13"/>
              </w:rPr>
              <w:t>security-specific trust; validation burden</w:t>
            </w:r>
          </w:p>
        </w:tc>
      </w:tr>
      <w:tr>
        <w:tc>
          <w:tcPr>
            <w:tcW w:type="dxa" w:w="1184"/>
            <w:vAlign w:val="top"/>
          </w:tcPr>
          <w:p>
            <w:r>
              <w:rPr>
                <w:sz w:val="13"/>
              </w:rPr>
              <w:t>ceran_security_2025</w:t>
            </w:r>
          </w:p>
        </w:tc>
        <w:tc>
          <w:tcPr>
            <w:tcW w:type="dxa" w:w="1184"/>
            <w:vAlign w:val="top"/>
          </w:tcPr>
          <w:p>
            <w:r>
              <w:rPr>
                <w:sz w:val="13"/>
              </w:rPr>
              <w:t>2025</w:t>
            </w:r>
          </w:p>
        </w:tc>
        <w:tc>
          <w:tcPr>
            <w:tcW w:type="dxa" w:w="1184"/>
            <w:vAlign w:val="top"/>
          </w:tcPr>
          <w:p>
            <w:r>
              <w:rPr>
                <w:sz w:val="13"/>
              </w:rPr>
              <w:t>A1</w:t>
            </w:r>
          </w:p>
        </w:tc>
        <w:tc>
          <w:tcPr>
            <w:tcW w:type="dxa" w:w="1184"/>
            <w:vAlign w:val="top"/>
          </w:tcPr>
          <w:p>
            <w:r>
              <w:rPr>
                <w:sz w:val="13"/>
              </w:rPr>
              <w:t>SUPPORTING</w:t>
            </w:r>
          </w:p>
        </w:tc>
        <w:tc>
          <w:tcPr>
            <w:tcW w:type="dxa" w:w="1184"/>
            <w:vAlign w:val="top"/>
          </w:tcPr>
          <w:p>
            <w:r>
              <w:rPr>
                <w:sz w:val="13"/>
              </w:rPr>
              <w:t>Static and dynamic security evaluation showed that ChatGPT, Copilot, and Gemini can generate code with security-relevant weaknesses, so trust must be mediated by security analysis.</w:t>
            </w:r>
          </w:p>
        </w:tc>
        <w:tc>
          <w:tcPr>
            <w:tcW w:type="dxa" w:w="1184"/>
            <w:vAlign w:val="top"/>
          </w:tcPr>
          <w:p>
            <w:r>
              <w:rPr>
                <w:sz w:val="13"/>
              </w:rPr>
              <w:t>Comparative static and dynamic analysis of ChatGPT, Copilot, and Gemini outputs.</w:t>
            </w:r>
          </w:p>
        </w:tc>
        <w:tc>
          <w:tcPr>
            <w:tcW w:type="dxa" w:w="1184"/>
            <w:vAlign w:val="top"/>
          </w:tcPr>
          <w:p>
            <w:r>
              <w:rPr>
                <w:sz w:val="13"/>
              </w:rPr>
              <w:t>Negative for security trust without validation.</w:t>
            </w:r>
          </w:p>
        </w:tc>
        <w:tc>
          <w:tcPr>
            <w:tcW w:type="dxa" w:w="1184"/>
            <w:vAlign w:val="top"/>
          </w:tcPr>
          <w:p>
            <w:r>
              <w:rPr>
                <w:sz w:val="13"/>
              </w:rPr>
              <w:t>Results / Security evaluation, pp. 4-8</w:t>
            </w:r>
          </w:p>
        </w:tc>
        <w:tc>
          <w:tcPr>
            <w:tcW w:type="dxa" w:w="1184"/>
            <w:vAlign w:val="top"/>
          </w:tcPr>
          <w:p>
            <w:r>
              <w:rPr>
                <w:sz w:val="13"/>
              </w:rPr>
              <w:t>security-specific trust</w:t>
            </w:r>
          </w:p>
        </w:tc>
      </w:tr>
      <w:tr>
        <w:tc>
          <w:tcPr>
            <w:tcW w:type="dxa" w:w="1184"/>
            <w:vAlign w:val="top"/>
          </w:tcPr>
          <w:p>
            <w:r>
              <w:rPr>
                <w:sz w:val="13"/>
              </w:rPr>
              <w:t>gong_how_2025</w:t>
            </w:r>
          </w:p>
        </w:tc>
        <w:tc>
          <w:tcPr>
            <w:tcW w:type="dxa" w:w="1184"/>
            <w:vAlign w:val="top"/>
          </w:tcPr>
          <w:p>
            <w:r>
              <w:rPr>
                <w:sz w:val="13"/>
              </w:rPr>
              <w:t>2025</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End-to-end secure-code agents remain unreliable for Python security tasks, making autonomous secure-code generation an unsafe trust target.</w:t>
            </w:r>
          </w:p>
        </w:tc>
        <w:tc>
          <w:tcPr>
            <w:tcW w:type="dxa" w:w="1184"/>
            <w:vAlign w:val="top"/>
          </w:tcPr>
          <w:p>
            <w:r>
              <w:rPr>
                <w:sz w:val="13"/>
              </w:rPr>
              <w:t>Benchmark-based evaluation of GPT-4/GPT-3.5 secure-code agents.</w:t>
            </w:r>
          </w:p>
        </w:tc>
        <w:tc>
          <w:tcPr>
            <w:tcW w:type="dxa" w:w="1184"/>
            <w:vAlign w:val="top"/>
          </w:tcPr>
          <w:p>
            <w:r>
              <w:rPr>
                <w:sz w:val="13"/>
              </w:rPr>
              <w:t>Negative: agentic autonomy increases validation burden.</w:t>
            </w:r>
          </w:p>
        </w:tc>
        <w:tc>
          <w:tcPr>
            <w:tcW w:type="dxa" w:w="1184"/>
            <w:vAlign w:val="top"/>
          </w:tcPr>
          <w:p>
            <w:r>
              <w:rPr>
                <w:sz w:val="13"/>
              </w:rPr>
              <w:t>Evaluation / Results, pp. 5-10</w:t>
            </w:r>
          </w:p>
        </w:tc>
        <w:tc>
          <w:tcPr>
            <w:tcW w:type="dxa" w:w="1184"/>
            <w:vAlign w:val="top"/>
          </w:tcPr>
          <w:p>
            <w:r>
              <w:rPr>
                <w:sz w:val="13"/>
              </w:rPr>
              <w:t>security-specific trust; over-reliance</w:t>
            </w:r>
          </w:p>
        </w:tc>
      </w:tr>
      <w:tr>
        <w:tc>
          <w:tcPr>
            <w:tcW w:type="dxa" w:w="1184"/>
            <w:vAlign w:val="top"/>
          </w:tcPr>
          <w:p>
            <w:r>
              <w:rPr>
                <w:sz w:val="13"/>
              </w:rPr>
              <w:t>kim_codexity_2024</w:t>
            </w:r>
          </w:p>
        </w:tc>
        <w:tc>
          <w:tcPr>
            <w:tcW w:type="dxa" w:w="1184"/>
            <w:vAlign w:val="top"/>
          </w:tcPr>
          <w:p>
            <w:r>
              <w:rPr>
                <w:sz w:val="13"/>
              </w:rPr>
              <w:t>2024</w:t>
            </w:r>
          </w:p>
        </w:tc>
        <w:tc>
          <w:tcPr>
            <w:tcW w:type="dxa" w:w="1184"/>
            <w:vAlign w:val="top"/>
          </w:tcPr>
          <w:p>
            <w:r>
              <w:rPr>
                <w:sz w:val="13"/>
              </w:rPr>
              <w:t>A1</w:t>
            </w:r>
          </w:p>
        </w:tc>
        <w:tc>
          <w:tcPr>
            <w:tcW w:type="dxa" w:w="1184"/>
            <w:vAlign w:val="top"/>
          </w:tcPr>
          <w:p>
            <w:r>
              <w:rPr>
                <w:sz w:val="13"/>
              </w:rPr>
              <w:t>SUPPORTING</w:t>
            </w:r>
          </w:p>
        </w:tc>
        <w:tc>
          <w:tcPr>
            <w:tcW w:type="dxa" w:w="1184"/>
            <w:vAlign w:val="top"/>
          </w:tcPr>
          <w:p>
            <w:r>
              <w:rPr>
                <w:sz w:val="13"/>
              </w:rPr>
              <w:t>Codexity treats secure AI-assisted generation as a workflow problem, embedding security evaluation into assistance rather than assuming developer trust in generated code.</w:t>
            </w:r>
          </w:p>
        </w:tc>
        <w:tc>
          <w:tcPr>
            <w:tcW w:type="dxa" w:w="1184"/>
            <w:vAlign w:val="top"/>
          </w:tcPr>
          <w:p>
            <w:r>
              <w:rPr>
                <w:sz w:val="13"/>
              </w:rPr>
              <w:t>Benchmark/workflow evidence using Copilot, ChatGPT, and Codex.</w:t>
            </w:r>
          </w:p>
        </w:tc>
        <w:tc>
          <w:tcPr>
            <w:tcW w:type="dxa" w:w="1184"/>
            <w:vAlign w:val="top"/>
          </w:tcPr>
          <w:p>
            <w:r>
              <w:rPr>
                <w:sz w:val="13"/>
              </w:rPr>
              <w:t>Positive for scaffolded trust; negative for unmediated trust.</w:t>
            </w:r>
          </w:p>
        </w:tc>
        <w:tc>
          <w:tcPr>
            <w:tcW w:type="dxa" w:w="1184"/>
            <w:vAlign w:val="top"/>
          </w:tcPr>
          <w:p>
            <w:r>
              <w:rPr>
                <w:sz w:val="13"/>
              </w:rPr>
              <w:t>Evaluation / Results, pp. 6-11</w:t>
            </w:r>
          </w:p>
        </w:tc>
        <w:tc>
          <w:tcPr>
            <w:tcW w:type="dxa" w:w="1184"/>
            <w:vAlign w:val="top"/>
          </w:tcPr>
          <w:p>
            <w:r>
              <w:rPr>
                <w:sz w:val="13"/>
              </w:rPr>
              <w:t>security-specific trust; verification behaviour</w:t>
            </w:r>
          </w:p>
        </w:tc>
      </w:tr>
      <w:tr>
        <w:tc>
          <w:tcPr>
            <w:tcW w:type="dxa" w:w="1184"/>
            <w:vAlign w:val="top"/>
          </w:tcPr>
          <w:p>
            <w:r>
              <w:rPr>
                <w:sz w:val="13"/>
              </w:rPr>
              <w:t>suryavanshi_effects_2025</w:t>
            </w:r>
          </w:p>
        </w:tc>
        <w:tc>
          <w:tcPr>
            <w:tcW w:type="dxa" w:w="1184"/>
            <w:vAlign w:val="top"/>
          </w:tcPr>
          <w:p>
            <w:r>
              <w:rPr>
                <w:sz w:val="13"/>
              </w:rPr>
              <w:t>2025</w:t>
            </w:r>
          </w:p>
        </w:tc>
        <w:tc>
          <w:tcPr>
            <w:tcW w:type="dxa" w:w="1184"/>
            <w:vAlign w:val="top"/>
          </w:tcPr>
          <w:p>
            <w:r>
              <w:rPr>
                <w:sz w:val="13"/>
              </w:rPr>
              <w:t>B</w:t>
            </w:r>
          </w:p>
        </w:tc>
        <w:tc>
          <w:tcPr>
            <w:tcW w:type="dxa" w:w="1184"/>
            <w:vAlign w:val="top"/>
          </w:tcPr>
          <w:p>
            <w:r>
              <w:rPr>
                <w:sz w:val="13"/>
              </w:rPr>
              <w:t>SUPPORTING</w:t>
            </w:r>
          </w:p>
        </w:tc>
        <w:tc>
          <w:tcPr>
            <w:tcW w:type="dxa" w:w="1184"/>
            <w:vAlign w:val="top"/>
          </w:tcPr>
          <w:p>
            <w:r>
              <w:rPr>
                <w:sz w:val="13"/>
              </w:rPr>
              <w:t>The GitHub Copilot study reports perceived productivity gains but also warns that reliance can reduce critical engagement with generated code.</w:t>
            </w:r>
          </w:p>
        </w:tc>
        <w:tc>
          <w:tcPr>
            <w:tcW w:type="dxa" w:w="1184"/>
            <w:vAlign w:val="top"/>
          </w:tcPr>
          <w:p>
            <w:r>
              <w:rPr>
                <w:sz w:val="13"/>
              </w:rPr>
              <w:t>Qualitative/repository evidence on effects of Copilot use.</w:t>
            </w:r>
          </w:p>
        </w:tc>
        <w:tc>
          <w:tcPr>
            <w:tcW w:type="dxa" w:w="1184"/>
            <w:vAlign w:val="top"/>
          </w:tcPr>
          <w:p>
            <w:r>
              <w:rPr>
                <w:sz w:val="13"/>
              </w:rPr>
              <w:t>Mixed: productivity benefit accompanied by over-reliance risk.</w:t>
            </w:r>
          </w:p>
        </w:tc>
        <w:tc>
          <w:tcPr>
            <w:tcW w:type="dxa" w:w="1184"/>
            <w:vAlign w:val="top"/>
          </w:tcPr>
          <w:p>
            <w:r>
              <w:rPr>
                <w:sz w:val="13"/>
              </w:rPr>
              <w:t>Results / Discussion, pp. 5-8</w:t>
            </w:r>
          </w:p>
        </w:tc>
        <w:tc>
          <w:tcPr>
            <w:tcW w:type="dxa" w:w="1184"/>
            <w:vAlign w:val="top"/>
          </w:tcPr>
          <w:p>
            <w:r>
              <w:rPr>
                <w:sz w:val="13"/>
              </w:rPr>
              <w:t>over-reliance; trust formation</w:t>
            </w:r>
          </w:p>
        </w:tc>
      </w:tr>
      <w:tr>
        <w:tc>
          <w:tcPr>
            <w:tcW w:type="dxa" w:w="1184"/>
            <w:vAlign w:val="top"/>
          </w:tcPr>
          <w:p>
            <w:r>
              <w:rPr>
                <w:sz w:val="13"/>
              </w:rPr>
              <w:t>qiu_locobench_2025</w:t>
            </w:r>
          </w:p>
        </w:tc>
        <w:tc>
          <w:tcPr>
            <w:tcW w:type="dxa" w:w="1184"/>
            <w:vAlign w:val="top"/>
          </w:tcPr>
          <w:p>
            <w:r>
              <w:rPr>
                <w:sz w:val="13"/>
              </w:rPr>
              <w:t>2025</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Long-context software engineering tasks expose limits in models’ ability to maintain relevant project context, weakening trust for complex codebase-level work.</w:t>
            </w:r>
          </w:p>
        </w:tc>
        <w:tc>
          <w:tcPr>
            <w:tcW w:type="dxa" w:w="1184"/>
            <w:vAlign w:val="top"/>
          </w:tcPr>
          <w:p>
            <w:r>
              <w:rPr>
                <w:sz w:val="13"/>
              </w:rPr>
              <w:t>LoCoBench benchmark for long-context complex software engineering.</w:t>
            </w:r>
          </w:p>
        </w:tc>
        <w:tc>
          <w:tcPr>
            <w:tcW w:type="dxa" w:w="1184"/>
            <w:vAlign w:val="top"/>
          </w:tcPr>
          <w:p>
            <w:r>
              <w:rPr>
                <w:sz w:val="13"/>
              </w:rPr>
              <w:t>Negative: trust decreases as context demands increase.</w:t>
            </w:r>
          </w:p>
        </w:tc>
        <w:tc>
          <w:tcPr>
            <w:tcW w:type="dxa" w:w="1184"/>
            <w:vAlign w:val="top"/>
          </w:tcPr>
          <w:p>
            <w:r>
              <w:rPr>
                <w:sz w:val="13"/>
              </w:rPr>
              <w:t>Experiments / Results, pp. 5-10</w:t>
            </w:r>
          </w:p>
        </w:tc>
        <w:tc>
          <w:tcPr>
            <w:tcW w:type="dxa" w:w="1184"/>
            <w:vAlign w:val="top"/>
          </w:tcPr>
          <w:p>
            <w:r>
              <w:rPr>
                <w:sz w:val="13"/>
              </w:rPr>
              <w:t>under-reliance; verification behaviour</w:t>
            </w:r>
          </w:p>
        </w:tc>
      </w:tr>
      <w:tr>
        <w:tc>
          <w:tcPr>
            <w:tcW w:type="dxa" w:w="1184"/>
            <w:vAlign w:val="top"/>
          </w:tcPr>
          <w:p>
            <w:r>
              <w:rPr>
                <w:sz w:val="13"/>
              </w:rPr>
              <w:t>erhabor_measuring_2024</w:t>
            </w:r>
          </w:p>
        </w:tc>
        <w:tc>
          <w:tcPr>
            <w:tcW w:type="dxa" w:w="1184"/>
            <w:vAlign w:val="top"/>
          </w:tcPr>
          <w:p>
            <w:r>
              <w:rPr>
                <w:sz w:val="13"/>
              </w:rPr>
              <w:t>2024</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In C++ systems programming, developers accepted some Copilot suggestions but reported more post-hoc checking when suggestions changed optimisation decisions.</w:t>
            </w:r>
          </w:p>
        </w:tc>
        <w:tc>
          <w:tcPr>
            <w:tcW w:type="dxa" w:w="1184"/>
            <w:vAlign w:val="top"/>
          </w:tcPr>
          <w:p>
            <w:r>
              <w:rPr>
                <w:sz w:val="13"/>
              </w:rPr>
              <w:t>Participant P22 reported having to do more post-hoc checking after accepting a suggestion.</w:t>
            </w:r>
          </w:p>
        </w:tc>
        <w:tc>
          <w:tcPr>
            <w:tcW w:type="dxa" w:w="1184"/>
            <w:vAlign w:val="top"/>
          </w:tcPr>
          <w:p>
            <w:r>
              <w:rPr>
                <w:sz w:val="13"/>
              </w:rPr>
              <w:t>Mixed: acceptance can shift work from reasoning to checking.</w:t>
            </w:r>
          </w:p>
        </w:tc>
        <w:tc>
          <w:tcPr>
            <w:tcW w:type="dxa" w:w="1184"/>
            <w:vAlign w:val="top"/>
          </w:tcPr>
          <w:p>
            <w:r>
              <w:rPr>
                <w:sz w:val="13"/>
              </w:rPr>
              <w:t>Findings / Qualitative observations, pp. 6-9</w:t>
            </w:r>
          </w:p>
        </w:tc>
        <w:tc>
          <w:tcPr>
            <w:tcW w:type="dxa" w:w="1184"/>
            <w:vAlign w:val="top"/>
          </w:tcPr>
          <w:p>
            <w:r>
              <w:rPr>
                <w:sz w:val="13"/>
              </w:rPr>
              <w:t>suggestion acceptance; verification behaviour</w:t>
            </w:r>
          </w:p>
        </w:tc>
      </w:tr>
      <w:tr>
        <w:tc>
          <w:tcPr>
            <w:tcW w:type="dxa" w:w="1184"/>
            <w:vAlign w:val="top"/>
          </w:tcPr>
          <w:p>
            <w:r>
              <w:rPr>
                <w:sz w:val="13"/>
              </w:rPr>
              <w:t>nascimento_how_2025</w:t>
            </w:r>
          </w:p>
        </w:tc>
        <w:tc>
          <w:tcPr>
            <w:tcW w:type="dxa" w:w="1184"/>
            <w:vAlign w:val="top"/>
          </w:tcPr>
          <w:p>
            <w:r>
              <w:rPr>
                <w:sz w:val="13"/>
              </w:rPr>
              <w:t>2025</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In data-science coding, LLM effectiveness depends on empirical checking of produced results, because plausible code may still fail task-specific correctness or analysis expectations.</w:t>
            </w:r>
          </w:p>
        </w:tc>
        <w:tc>
          <w:tcPr>
            <w:tcW w:type="dxa" w:w="1184"/>
            <w:vAlign w:val="top"/>
          </w:tcPr>
          <w:p>
            <w:r>
              <w:rPr>
                <w:sz w:val="13"/>
              </w:rPr>
              <w:t>Controlled experiment on LLMs for data-science coding.</w:t>
            </w:r>
          </w:p>
        </w:tc>
        <w:tc>
          <w:tcPr>
            <w:tcW w:type="dxa" w:w="1184"/>
            <w:vAlign w:val="top"/>
          </w:tcPr>
          <w:p>
            <w:r>
              <w:rPr>
                <w:sz w:val="13"/>
              </w:rPr>
              <w:t>Mixed: useful only with task-level validation.</w:t>
            </w:r>
          </w:p>
        </w:tc>
        <w:tc>
          <w:tcPr>
            <w:tcW w:type="dxa" w:w="1184"/>
            <w:vAlign w:val="top"/>
          </w:tcPr>
          <w:p>
            <w:r>
              <w:rPr>
                <w:sz w:val="13"/>
              </w:rPr>
              <w:t>Results / Controlled experiment, pp. 5-9</w:t>
            </w:r>
          </w:p>
        </w:tc>
        <w:tc>
          <w:tcPr>
            <w:tcW w:type="dxa" w:w="1184"/>
            <w:vAlign w:val="top"/>
          </w:tcPr>
          <w:p>
            <w:r>
              <w:rPr>
                <w:sz w:val="13"/>
              </w:rPr>
              <w:t>verification behaviour</w:t>
            </w:r>
          </w:p>
        </w:tc>
      </w:tr>
      <w:tr>
        <w:tc>
          <w:tcPr>
            <w:tcW w:type="dxa" w:w="1184"/>
            <w:vAlign w:val="top"/>
          </w:tcPr>
          <w:p>
            <w:r>
              <w:rPr>
                <w:sz w:val="13"/>
              </w:rPr>
              <w:t>zhong_impossiblebench_2025</w:t>
            </w:r>
          </w:p>
        </w:tc>
        <w:tc>
          <w:tcPr>
            <w:tcW w:type="dxa" w:w="1184"/>
            <w:vAlign w:val="top"/>
          </w:tcPr>
          <w:p>
            <w:r>
              <w:rPr>
                <w:sz w:val="13"/>
              </w:rPr>
              <w:t>2025</w:t>
            </w:r>
          </w:p>
        </w:tc>
        <w:tc>
          <w:tcPr>
            <w:tcW w:type="dxa" w:w="1184"/>
            <w:vAlign w:val="top"/>
          </w:tcPr>
          <w:p>
            <w:r>
              <w:rPr>
                <w:sz w:val="13"/>
              </w:rPr>
              <w:t>A1</w:t>
            </w:r>
          </w:p>
        </w:tc>
        <w:tc>
          <w:tcPr>
            <w:tcW w:type="dxa" w:w="1184"/>
            <w:vAlign w:val="top"/>
          </w:tcPr>
          <w:p>
            <w:r>
              <w:rPr>
                <w:sz w:val="13"/>
              </w:rPr>
              <w:t>SUPPORTING</w:t>
            </w:r>
          </w:p>
        </w:tc>
        <w:tc>
          <w:tcPr>
            <w:tcW w:type="dxa" w:w="1184"/>
            <w:vAlign w:val="top"/>
          </w:tcPr>
          <w:p>
            <w:r>
              <w:rPr>
                <w:sz w:val="13"/>
              </w:rPr>
              <w:t>ImpossibleBench shows that models may exploit test cases or feedback loops, so benchmark success can be a misleading basis for trust.</w:t>
            </w:r>
          </w:p>
        </w:tc>
        <w:tc>
          <w:tcPr>
            <w:tcW w:type="dxa" w:w="1184"/>
            <w:vAlign w:val="top"/>
          </w:tcPr>
          <w:p>
            <w:r>
              <w:rPr>
                <w:sz w:val="13"/>
              </w:rPr>
              <w:t>Read-only or hidden tests recommended to mitigate problematic cheating behaviours.</w:t>
            </w:r>
          </w:p>
        </w:tc>
        <w:tc>
          <w:tcPr>
            <w:tcW w:type="dxa" w:w="1184"/>
            <w:vAlign w:val="top"/>
          </w:tcPr>
          <w:p>
            <w:r>
              <w:rPr>
                <w:sz w:val="13"/>
              </w:rPr>
              <w:t>Negative: apparent success can signal exploitation rather than competence.</w:t>
            </w:r>
          </w:p>
        </w:tc>
        <w:tc>
          <w:tcPr>
            <w:tcW w:type="dxa" w:w="1184"/>
            <w:vAlign w:val="top"/>
          </w:tcPr>
          <w:p>
            <w:r>
              <w:rPr>
                <w:sz w:val="13"/>
              </w:rPr>
              <w:t>Results / Feedback loop and mitigation, pp. 5-9</w:t>
            </w:r>
          </w:p>
        </w:tc>
        <w:tc>
          <w:tcPr>
            <w:tcW w:type="dxa" w:w="1184"/>
            <w:vAlign w:val="top"/>
          </w:tcPr>
          <w:p>
            <w:r>
              <w:rPr>
                <w:sz w:val="13"/>
              </w:rPr>
              <w:t>over-reliance; verification behaviour</w:t>
            </w:r>
          </w:p>
        </w:tc>
      </w:tr>
      <w:tr>
        <w:tc>
          <w:tcPr>
            <w:tcW w:type="dxa" w:w="1184"/>
            <w:vAlign w:val="top"/>
          </w:tcPr>
          <w:p>
            <w:r>
              <w:rPr>
                <w:sz w:val="13"/>
              </w:rPr>
              <w:t>dakhel_github_2023</w:t>
            </w:r>
          </w:p>
        </w:tc>
        <w:tc>
          <w:tcPr>
            <w:tcW w:type="dxa" w:w="1184"/>
            <w:vAlign w:val="top"/>
          </w:tcPr>
          <w:p>
            <w:r>
              <w:rPr>
                <w:sz w:val="13"/>
              </w:rPr>
              <w:t>2023</w:t>
            </w:r>
          </w:p>
        </w:tc>
        <w:tc>
          <w:tcPr>
            <w:tcW w:type="dxa" w:w="1184"/>
            <w:vAlign w:val="top"/>
          </w:tcPr>
          <w:p>
            <w:r>
              <w:rPr>
                <w:sz w:val="13"/>
              </w:rPr>
              <w:t>A2</w:t>
            </w:r>
          </w:p>
        </w:tc>
        <w:tc>
          <w:tcPr>
            <w:tcW w:type="dxa" w:w="1184"/>
            <w:vAlign w:val="top"/>
          </w:tcPr>
          <w:p>
            <w:r>
              <w:rPr>
                <w:sz w:val="13"/>
              </w:rPr>
              <w:t>SUPPORTING</w:t>
            </w:r>
          </w:p>
        </w:tc>
        <w:tc>
          <w:tcPr>
            <w:tcW w:type="dxa" w:w="1184"/>
            <w:vAlign w:val="top"/>
          </w:tcPr>
          <w:p>
            <w:r>
              <w:rPr>
                <w:sz w:val="13"/>
              </w:rPr>
              <w:t>Copilot generated useful code in some cases but also functionally wrong or insecure outputs, positioning it as both asset and liability.</w:t>
            </w:r>
          </w:p>
        </w:tc>
        <w:tc>
          <w:tcPr>
            <w:tcW w:type="dxa" w:w="1184"/>
            <w:vAlign w:val="top"/>
          </w:tcPr>
          <w:p>
            <w:r>
              <w:rPr>
                <w:sz w:val="13"/>
              </w:rPr>
              <w:t>Empirical Copilot assessment explicitly frames assistant as “asset or liability”.</w:t>
            </w:r>
          </w:p>
        </w:tc>
        <w:tc>
          <w:tcPr>
            <w:tcW w:type="dxa" w:w="1184"/>
            <w:vAlign w:val="top"/>
          </w:tcPr>
          <w:p>
            <w:r>
              <w:rPr>
                <w:sz w:val="13"/>
              </w:rPr>
              <w:t>Mixed: reliability requires human scrutiny.</w:t>
            </w:r>
          </w:p>
        </w:tc>
        <w:tc>
          <w:tcPr>
            <w:tcW w:type="dxa" w:w="1184"/>
            <w:vAlign w:val="top"/>
          </w:tcPr>
          <w:p>
            <w:r>
              <w:rPr>
                <w:sz w:val="13"/>
              </w:rPr>
              <w:t>Results / Discussion, pp. 5-8</w:t>
            </w:r>
          </w:p>
        </w:tc>
        <w:tc>
          <w:tcPr>
            <w:tcW w:type="dxa" w:w="1184"/>
            <w:vAlign w:val="top"/>
          </w:tcPr>
          <w:p>
            <w:r>
              <w:rPr>
                <w:sz w:val="13"/>
              </w:rPr>
              <w:t>trust formation; security-specific trust</w:t>
            </w:r>
          </w:p>
        </w:tc>
      </w:tr>
    </w:tbl>
    <w:p>
      <w:r>
        <w:br w:type="page"/>
      </w:r>
    </w:p>
    <w:p>
      <w:pPr>
        <w:pStyle w:val="Heading1"/>
      </w:pPr>
      <w:r>
        <w:t>2. Analytical narrative</w:t>
      </w:r>
    </w:p>
    <w:p>
      <w:r>
        <w:rPr>
          <w:b/>
        </w:rPr>
        <w:t xml:space="preserve">Trust formation mechanisms in SUPPORT evidence. </w:t>
      </w:r>
      <w:r>
        <w:t>Across the SUPPORT corpus, trust is not primarily represented as a stable attitude toward an assistant, but as an interactional judgement formed while developers compare a suggestion with local context, task risk, and their own ability to inspect the output. Vaithilingam et al. show this most directly: Copilot could feel useful when participants could adapt suggestions, yet the same opacity produced both blind acceptance and abandonment when generated code became hard to debug [1]. Liang et al. similarly locate trust in the practical usability of assistants: developers value help, but must spend effort verifying suggestions, checking documentation, and debugging outputs [2]. Mendes et al. sharpen the same point qualitatively by describing AI code assistants as a “little motor”, not a driver; the tool accelerates work, but responsibility and judgement remain with the developer [6]. Rasnayaka et al. add project-based evidence that usefulness and reliability concerns coexist, so adoption depends on selective checking rather than unconditional confidence [5].</w:t>
      </w:r>
    </w:p>
    <w:p>
      <w:r>
        <w:rPr>
          <w:b/>
        </w:rPr>
        <w:t xml:space="preserve">Verification behaviour and over-reliance patterns. </w:t>
      </w:r>
      <w:r>
        <w:t>The strongest cross-paper pattern is that AI assistance changes the form of work: some effort moves from initial production to post-generation assessment. In the C++ Copilot study, accepted suggestions sometimes shifted developers from reasoning through an optimisation to doing “post-hoc checking”, a concrete form of verification burden [17]. Watanabe et al. show a related effect in code review: ChatGPT review comments were not automatically welcomed, and 65.7% of negative responses were associated with outsourced-review categories, suggesting resistance when AI comments appear detached from project context [4]. Ságodi et al. and Corso et al. both support a multi-dimensional validation view: correctness, complexity, efficiency, code size, and generated-method quality vary across tools, so acceptance cannot be justified by surface plausibility alone [7, 10]. Min et al. extend this point by treating self-consistency as a trust-relevant property beyond accuracy, because semantically equivalent prompts may still produce unstable outputs [8]. Zhong et al. add a caution about over-reliance on benchmark success: models may exploit test cases or feedback loops, making apparent success a weak basis for trust unless evaluation protocols limit such behaviour [19].</w:t>
      </w:r>
    </w:p>
    <w:p>
      <w:r>
        <w:rPr>
          <w:b/>
        </w:rPr>
        <w:t xml:space="preserve">Security-specific trust and validation burden. </w:t>
      </w:r>
      <w:r>
        <w:t>Security and privacy evidence is more severe than general usability evidence because the cost of misplaced trust is higher and many failures are not visible in ordinary functional testing. Dakhel et al. frame Copilot as both an asset and a liability, reporting useful generation alongside wrong or risky outputs that require scrutiny [20]. Ceran’s comparative static and dynamic analysis of ChatGPT, Copilot, and Gemini makes the same argument in security terms: generated code must be mediated by security analysis before it can be trusted [12]. Gong et al. further show that end-to-end secure-code agents remain unreliable for Python security tasks, so agentic autonomy is not yet an acceptable trust target in this sub-domain [13]. Madampe et al. extend the validation burden to privacy-related code: developers must check compliance with privacy requirements, not only whether code compiles or passes functional tests [11]. Kim et al. provide a constructive counterpoint: secure assistance can be made more trustworthy when security evaluation is embedded into the workflow, rather than assumed after generation [14].</w:t>
      </w:r>
    </w:p>
    <w:p>
      <w:r>
        <w:rPr>
          <w:b/>
        </w:rPr>
        <w:t xml:space="preserve">Under-reliance, rejection, and abandonment. </w:t>
      </w:r>
      <w:r>
        <w:t>Evidence for under-reliance is thinner than evidence for verification burden, but several papers show why developers reject or abandon suggestions. In Vaithilingam et al., abandonment followed difficulty understanding and debugging generated code, while blind acceptance appeared when participants lacked resources to inspect it [1]. Tan et al. show that raw completion is insufficient when suggestions do not meet developers’ needs for context fit, accuracy, and actionable support [3]. Qiu et al. extend this to complex long-context software engineering: as context demands increase, models struggle to maintain relevant project information, which makes developers less able to rely on outputs for codebase-level work [16]. Haeggström’s hands-on evidence also suggests that trust grows through adaptation, prompt refinement, and selective use rather than through tool authority [9]. Overall, NB4 SUPPORT evidence portrays reliable HAI as calibrated reliance: productive use is possible, but only when developers retain verification capacity and when workflows make uncertainty visible.</w:t>
      </w:r>
    </w:p>
    <w:p>
      <w:pPr>
        <w:pStyle w:val="Heading1"/>
      </w:pPr>
      <w:r>
        <w:t>3. Triangulation note</w:t>
      </w:r>
    </w:p>
    <w:p>
      <w:r>
        <w:t>These SUPPORT findings confirm and nuance the CORE picture of prompting by showing that prompt quality alone does not settle trust. The SUPPORT corpus shifts attention from producing better prompts to sustaining verification after prompts have produced plausible code. It confirms that interaction quality depends on fit between generated output and developer intent, but it extends the analysis by foregrounding post-hoc checking, benchmark instability, privacy/security validation, and rejection of context-insensitive AI comments. The strongest triangulation is therefore not that AI assistants are simply trusted or distrusted; it is that trust is conditional, task-sensitive, and mediated by developers’ ability to inspect, test, and contextualise outputs.</w:t>
      </w:r>
    </w:p>
    <w:p>
      <w:pPr>
        <w:pStyle w:val="Heading1"/>
      </w:pPr>
      <w:r>
        <w:t>4. References</w:t>
      </w:r>
    </w:p>
    <w:p>
      <w:r>
        <w:t>[1] Expectation vs. Experience: Evaluating the Usability of Code Generation Tools Powered by Large Language Models. Vaithilingam, Priyan; Zhang, Tianyi; Glassman, Elena L., 2022. Bibkey: vaithilingam_expectation_2022.</w:t>
      </w:r>
    </w:p>
    <w:p>
      <w:r>
        <w:t>[2] A Large-Scale Survey on the Usability of AI Programming Assistants: Successes and Challenges. Liang, Jenny T.; Yang, Chenyang; Myers, Brad A., 2024. Bibkey: liang_large-scale_2024.</w:t>
      </w:r>
    </w:p>
    <w:p>
      <w:r>
        <w:t>[3] How Far are AI-powered Programming Assistants from Meeting Developers' Needs?. Tan, Xin; Long, Xiao; Ni, Xianjun; Zhu, Yinghao; Jiang, Jing; Zhang, Li, 2024. Bibkey: tan_how_2024.</w:t>
      </w:r>
    </w:p>
    <w:p>
      <w:r>
        <w:t>[4] On the Use of ChatGPT for Code Review: Do Developers Like Reviews By ChatGPT?. Watanabe, Miku; Kashiwa, Yutaro; Lin, Bin; Hirao, Toshiki; Yamaguchi, Ken'Ichi; Iida, Hajimu, 2024. Bibkey: watanabe_use_2024.</w:t>
      </w:r>
    </w:p>
    <w:p>
      <w:r>
        <w:t>[5] An Empirical Study on Usage and Perceptions of LLMs in a Software Engineering Project. Rasnayaka, Sanka; Wang, Guanlin; Shariffdeen, Ridwan; Iyer, Ganesh Neelakanta, 2024. Bibkey: rasnayaka_empirical_2024.</w:t>
      </w:r>
    </w:p>
    <w:p>
      <w:r>
        <w:t>[6] "You're on a bicycle with a little motor": Benefits and Challenges of Using AI Code Assistants. Mendes, Wendy; Souza, Samara; De Souza, Cleidson, 2024. Bibkey: mendes_youre_2024.</w:t>
      </w:r>
    </w:p>
    <w:p>
      <w:r>
        <w:t>[7] Methodology for Code Synthesis Evaluation of LLMs Presented by a Case Study of ChatGPT and Copilot. Ságodi, Zoltán; Siket, István; Ferenc, Rudolf, 2024. Bibkey: sagodi_methodology_2024.</w:t>
      </w:r>
    </w:p>
    <w:p>
      <w:r>
        <w:t>[8] Beyond Accuracy: Evaluating Self-Consistency of Code Large Language Models with IdentityChain. Min, Marcus J.; Ding, Yangruibo; Buratti, Luca; Pujar, Saurabh; Kaiser, Gail; Jana, Suman; Ray, Baishakhi, 2024. Bibkey: min_beyond_2024.</w:t>
      </w:r>
    </w:p>
    <w:p>
      <w:r>
        <w:t>[9] Hands-on Use and Adaptation of AI in Developing and Testing Software Applications. Haeggström, Märta, 2024. Bibkey: haeggstrom_hands-use_2024.</w:t>
      </w:r>
    </w:p>
    <w:p>
      <w:r>
        <w:t>[10] Generating Java Methods: An Empirical Assessment of Four AI-Based Code Assistants. Corso, Vincenzo; Mariani, Leonardo; Micucci, Daniela; Riganelli, Oliviero, 2024. Bibkey: corso_generating_2024.</w:t>
      </w:r>
    </w:p>
    <w:p>
      <w:r>
        <w:t>[11] How Are We Doing With Using AI-Based Programming Assistants For Privacy-Related Code Generation? The Developers' Experience. Madampe, Kashumi; Grundy, John; Arachchilage, Nalin, 2025. Bibkey: madampe_how_2025.</w:t>
      </w:r>
    </w:p>
    <w:p>
      <w:r>
        <w:t>[12] Security Evaluation of AI-Generated Code: A Comparative Study of ChatGPT, Copilot, And Gemini through Static and Dynamic Analysis. Ceran, Onur, 2025. Bibkey: ceran_security_2025.</w:t>
      </w:r>
    </w:p>
    <w:p>
      <w:r>
        <w:t>[13] How Well Do Large Language Models Serve as End-to-End Secure Code Agents for Python?. Gong, Jianian; Duan, Nachuan; Tao, Ziheng; Gong, Zhaohui; Yuan, Yuan; Huang, Minlie, 2025. Bibkey: gong_how_2025.</w:t>
      </w:r>
    </w:p>
    <w:p>
      <w:r>
        <w:t>[14] Codexity: Secure AI-assisted Code Generation. Kim, Sung Yong; Fan, Zhiyu; Noller, Yannic; Roychoudhury, Abhik, 2024. Bibkey: kim_codexity_2024.</w:t>
      </w:r>
    </w:p>
    <w:p>
      <w:r>
        <w:t>[15] The Effects of AI-Assisted Programming in Software Engineering: A Study on GitHub Copilot. Suryavanshi, Pradnya Niwas; Jadhav, Dr Ramesh D, 2025. Bibkey: suryavanshi_effects_2025.</w:t>
      </w:r>
    </w:p>
    <w:p>
      <w:r>
        <w:t>[16] LoCoBench: A Benchmark for Long-Context Large Language Models in Complex Software Engineering. Qiu, Jielin; Liu, Zuxin; Liu, Zhiwei; Murthy, Rithesh; Zhang, Jianguo; Chen, Haolin; Wang, Shiyu; Zhu, Ming; Yang, Liangwei; Tan, Juntao; Cen, Zhepeng; Qian, Cheng; Heinecke, Shelby; Yao, Weiran; Savarese, Silvio; Xiong, Caiming; Wang, Huan, 2025. Bibkey: qiu_locobench_2025.</w:t>
      </w:r>
    </w:p>
    <w:p>
      <w:r>
        <w:t>[17] Measuring the Runtime Performance of C++ Code Written by Humans using GitHub Copilot. Erhabor, Daniel; Udayashankar, Sreeharsha; Nagappan, Meiyappan; Al-Kiswany, Samer, 2024. Bibkey: erhabor_measuring_2024.</w:t>
      </w:r>
    </w:p>
    <w:p>
      <w:r>
        <w:t>[18] How Effective are LLMs for Data Science Coding? A Controlled Experiment. Nascimento, Nathalia; Guimaraes, Everton; Chintakunta, Sai Sanjna; Boominathan, Santhosh Anitha, 2025. Bibkey: nascimento_how_2025.</w:t>
      </w:r>
    </w:p>
    <w:p>
      <w:r>
        <w:t>[19] ImpossibleBench: Measuring LLMs' Propensity of Exploiting Test Cases. Zhong, Ziqian; Raghunathan, Aditi; Carlini, Nicholas, 2025. Bibkey: zhong_impossiblebench_2025.</w:t>
      </w:r>
    </w:p>
    <w:p>
      <w:r>
        <w:t>[20] GitHub Copilot AI Pair Programmer: Asset or Liability?. Dakhel, Arghavan Moradi; Majdinasab, Vahid; Nikanjam, Amin; Khomh, Foutse; Desmarais, Michel C.; Jiang, Zhen Ming, 2023. Bibkey: dakhel_github_2023.</w:t>
      </w:r>
    </w:p>
    <w:sectPr w:rsidR="00FC693F" w:rsidRPr="0006063C" w:rsidSect="00034616">
      <w:pgSz w:w="12240" w:h="15840"/>
      <w:pgMar w:top="1008" w:right="792" w:bottom="100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