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1.4 - NB4 HAI SUPPORT: Developer Experience, Usability, and Perceived Value</w:t>
      </w:r>
    </w:p>
    <w:p>
      <w:r>
        <w:t>Scope note: this artefact uses SUPPORTING papers only from NB4_HAI_SUPPORT. REMOVE_CANDIDATE papers were excluded, and no NB3 CORE papers are cited.</w:t>
      </w:r>
    </w:p>
    <w:p>
      <w:pPr>
        <w:pStyle w:val="Heading1"/>
      </w:pPr>
      <w:r>
        <w:t>1. Evidence matrix</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top"/>
          </w:tcPr>
          <w:p>
            <w:r>
              <w:rPr>
                <w:sz w:val="13"/>
              </w:rPr>
              <w:t>Bibkey</w:t>
            </w:r>
          </w:p>
        </w:tc>
        <w:tc>
          <w:tcPr>
            <w:tcW w:type="dxa" w:w="1184"/>
            <w:vAlign w:val="top"/>
          </w:tcPr>
          <w:p>
            <w:r>
              <w:rPr>
                <w:sz w:val="13"/>
              </w:rPr>
              <w:t>Year</w:t>
            </w:r>
          </w:p>
        </w:tc>
        <w:tc>
          <w:tcPr>
            <w:tcW w:type="dxa" w:w="1184"/>
            <w:vAlign w:val="top"/>
          </w:tcPr>
          <w:p>
            <w:r>
              <w:rPr>
                <w:sz w:val="13"/>
              </w:rPr>
              <w:t>Quality tier</w:t>
            </w:r>
          </w:p>
        </w:tc>
        <w:tc>
          <w:tcPr>
            <w:tcW w:type="dxa" w:w="1184"/>
            <w:vAlign w:val="top"/>
          </w:tcPr>
          <w:p>
            <w:r>
              <w:rPr>
                <w:sz w:val="13"/>
              </w:rPr>
              <w:t>Segment</w:t>
            </w:r>
          </w:p>
        </w:tc>
        <w:tc>
          <w:tcPr>
            <w:tcW w:type="dxa" w:w="1184"/>
            <w:vAlign w:val="top"/>
          </w:tcPr>
          <w:p>
            <w:r>
              <w:rPr>
                <w:sz w:val="13"/>
              </w:rPr>
              <w:t>Key finding</w:t>
            </w:r>
          </w:p>
        </w:tc>
        <w:tc>
          <w:tcPr>
            <w:tcW w:type="dxa" w:w="1184"/>
            <w:vAlign w:val="top"/>
          </w:tcPr>
          <w:p>
            <w:r>
              <w:rPr>
                <w:sz w:val="13"/>
              </w:rPr>
              <w:t>Metric/value</w:t>
            </w:r>
          </w:p>
        </w:tc>
        <w:tc>
          <w:tcPr>
            <w:tcW w:type="dxa" w:w="1184"/>
            <w:vAlign w:val="top"/>
          </w:tcPr>
          <w:p>
            <w:r>
              <w:rPr>
                <w:sz w:val="13"/>
              </w:rPr>
              <w:t>Directionality</w:t>
            </w:r>
          </w:p>
        </w:tc>
        <w:tc>
          <w:tcPr>
            <w:tcW w:type="dxa" w:w="1184"/>
            <w:vAlign w:val="top"/>
          </w:tcPr>
          <w:p>
            <w:r>
              <w:rPr>
                <w:sz w:val="13"/>
              </w:rPr>
              <w:t>PDF section + page</w:t>
            </w:r>
          </w:p>
        </w:tc>
        <w:tc>
          <w:tcPr>
            <w:tcW w:type="dxa" w:w="1184"/>
            <w:vAlign w:val="top"/>
          </w:tcPr>
          <w:p>
            <w:r>
              <w:rPr>
                <w:sz w:val="13"/>
              </w:rPr>
              <w:t>Experience dimension</w:t>
            </w:r>
          </w:p>
        </w:tc>
      </w:tr>
      <w:tr>
        <w:tc>
          <w:tcPr>
            <w:tcW w:type="dxa" w:w="1184"/>
            <w:vAlign w:val="top"/>
          </w:tcPr>
          <w:p>
            <w:r>
              <w:rPr>
                <w:sz w:val="13"/>
              </w:rPr>
              <w:t>vaithilingam_expectation_2022</w:t>
            </w:r>
          </w:p>
        </w:tc>
        <w:tc>
          <w:tcPr>
            <w:tcW w:type="dxa" w:w="1184"/>
            <w:vAlign w:val="top"/>
          </w:tcPr>
          <w:p>
            <w:r>
              <w:rPr>
                <w:sz w:val="13"/>
              </w:rPr>
              <w:t>2022</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Participants often liked Copilot as a starting point, but struggled to understand and debug generated code.</w:t>
            </w:r>
          </w:p>
        </w:tc>
        <w:tc>
          <w:tcPr>
            <w:tcW w:type="dxa" w:w="1184"/>
            <w:vAlign w:val="top"/>
          </w:tcPr>
          <w:p>
            <w:r>
              <w:rPr>
                <w:sz w:val="13"/>
              </w:rPr>
              <w:t>24-participant within-subjects study; 19/24 preferred Copilot for search-like support.</w:t>
            </w:r>
          </w:p>
        </w:tc>
        <w:tc>
          <w:tcPr>
            <w:tcW w:type="dxa" w:w="1184"/>
            <w:vAlign w:val="top"/>
          </w:tcPr>
          <w:p>
            <w:r>
              <w:rPr>
                <w:sz w:val="13"/>
              </w:rPr>
              <w:t>Mixed: positive perceived utility, constrained by verification burden.</w:t>
            </w:r>
          </w:p>
        </w:tc>
        <w:tc>
          <w:tcPr>
            <w:tcW w:type="dxa" w:w="1184"/>
            <w:vAlign w:val="top"/>
          </w:tcPr>
          <w:p>
            <w:r>
              <w:rPr>
                <w:sz w:val="13"/>
              </w:rPr>
              <w:t>Results and Discussion, pp. 4-6</w:t>
            </w:r>
          </w:p>
        </w:tc>
        <w:tc>
          <w:tcPr>
            <w:tcW w:type="dxa" w:w="1184"/>
            <w:vAlign w:val="top"/>
          </w:tcPr>
          <w:p>
            <w:r>
              <w:rPr>
                <w:sz w:val="13"/>
              </w:rPr>
              <w:t>usability</w:t>
            </w:r>
          </w:p>
        </w:tc>
      </w:tr>
      <w:tr>
        <w:tc>
          <w:tcPr>
            <w:tcW w:type="dxa" w:w="1184"/>
            <w:vAlign w:val="top"/>
          </w:tcPr>
          <w:p>
            <w:r>
              <w:rPr>
                <w:sz w:val="13"/>
              </w:rPr>
              <w:t>xu_-ide_2022</w:t>
            </w:r>
          </w:p>
        </w:tc>
        <w:tc>
          <w:tcPr>
            <w:tcW w:type="dxa" w:w="1184"/>
            <w:vAlign w:val="top"/>
          </w:tcPr>
          <w:p>
            <w:r>
              <w:rPr>
                <w:sz w:val="13"/>
              </w:rPr>
              <w:t>2022</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The in-IDE NL2Code assistant was experienced positively, yet did not reliably improve speed or correctness.</w:t>
            </w:r>
          </w:p>
        </w:tc>
        <w:tc>
          <w:tcPr>
            <w:tcW w:type="dxa" w:w="1184"/>
            <w:vAlign w:val="top"/>
          </w:tcPr>
          <w:p>
            <w:r>
              <w:rPr>
                <w:sz w:val="13"/>
              </w:rPr>
              <w:t>31 participants; qualitative experience positive; quantitative productivity/accuracy gains not significant.</w:t>
            </w:r>
          </w:p>
        </w:tc>
        <w:tc>
          <w:tcPr>
            <w:tcW w:type="dxa" w:w="1184"/>
            <w:vAlign w:val="top"/>
          </w:tcPr>
          <w:p>
            <w:r>
              <w:rPr>
                <w:sz w:val="13"/>
              </w:rPr>
              <w:t>Mixed: satisfaction exceeded measured outcome improvement.</w:t>
            </w:r>
          </w:p>
        </w:tc>
        <w:tc>
          <w:tcPr>
            <w:tcW w:type="dxa" w:w="1184"/>
            <w:vAlign w:val="top"/>
          </w:tcPr>
          <w:p>
            <w:r>
              <w:rPr>
                <w:sz w:val="13"/>
              </w:rPr>
              <w:t>Results and Discussion, pp. 14-30</w:t>
            </w:r>
          </w:p>
        </w:tc>
        <w:tc>
          <w:tcPr>
            <w:tcW w:type="dxa" w:w="1184"/>
            <w:vAlign w:val="top"/>
          </w:tcPr>
          <w:p>
            <w:r>
              <w:rPr>
                <w:sz w:val="13"/>
              </w:rPr>
              <w:t>perceived productivity</w:t>
            </w:r>
          </w:p>
        </w:tc>
      </w:tr>
      <w:tr>
        <w:tc>
          <w:tcPr>
            <w:tcW w:type="dxa" w:w="1184"/>
            <w:vAlign w:val="top"/>
          </w:tcPr>
          <w:p>
            <w:r>
              <w:rPr>
                <w:sz w:val="13"/>
              </w:rPr>
              <w:t>liang_large-scale_2024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Large-scale usability evidence shows developers value assistance but face poor relevance, unmet functional requirements, and hard-to-debug outputs.</w:t>
            </w:r>
          </w:p>
        </w:tc>
        <w:tc>
          <w:tcPr>
            <w:tcW w:type="dxa" w:w="1184"/>
            <w:vAlign w:val="top"/>
          </w:tcPr>
          <w:p>
            <w:r>
              <w:rPr>
                <w:sz w:val="13"/>
              </w:rPr>
              <w:t>Survey study; coded open responses on successes and challenges.</w:t>
            </w:r>
          </w:p>
        </w:tc>
        <w:tc>
          <w:tcPr>
            <w:tcW w:type="dxa" w:w="1184"/>
            <w:vAlign w:val="top"/>
          </w:tcPr>
          <w:p>
            <w:r>
              <w:rPr>
                <w:sz w:val="13"/>
              </w:rPr>
              <w:t>Mixed: broad perceived value, limited by output fit and debugging costs.</w:t>
            </w:r>
          </w:p>
        </w:tc>
        <w:tc>
          <w:tcPr>
            <w:tcW w:type="dxa" w:w="1184"/>
            <w:vAlign w:val="top"/>
          </w:tcPr>
          <w:p>
            <w:r>
              <w:rPr>
                <w:sz w:val="13"/>
              </w:rPr>
              <w:t>Results, pp. 5-9; Discussion, pp. 10-11</w:t>
            </w:r>
          </w:p>
        </w:tc>
        <w:tc>
          <w:tcPr>
            <w:tcW w:type="dxa" w:w="1184"/>
            <w:vAlign w:val="top"/>
          </w:tcPr>
          <w:p>
            <w:r>
              <w:rPr>
                <w:sz w:val="13"/>
              </w:rPr>
              <w:t>usability</w:t>
            </w:r>
          </w:p>
        </w:tc>
      </w:tr>
      <w:tr>
        <w:tc>
          <w:tcPr>
            <w:tcW w:type="dxa" w:w="1184"/>
            <w:vAlign w:val="top"/>
          </w:tcPr>
          <w:p>
            <w:r>
              <w:rPr>
                <w:sz w:val="13"/>
              </w:rPr>
              <w:t>tan_how_2024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Recommendation usefulness varied by task granularity; low acceptance was linked to output-format mismatch, flawed logic, and style inconsistency.</w:t>
            </w:r>
          </w:p>
        </w:tc>
        <w:tc>
          <w:tcPr>
            <w:tcW w:type="dxa" w:w="1184"/>
            <w:vAlign w:val="top"/>
          </w:tcPr>
          <w:p>
            <w:r>
              <w:rPr>
                <w:sz w:val="13"/>
              </w:rPr>
              <w:t>Platform study with behavioural logs, interviews, and surveys.</w:t>
            </w:r>
          </w:p>
        </w:tc>
        <w:tc>
          <w:tcPr>
            <w:tcW w:type="dxa" w:w="1184"/>
            <w:vAlign w:val="top"/>
          </w:tcPr>
          <w:p>
            <w:r>
              <w:rPr>
                <w:sz w:val="13"/>
              </w:rPr>
              <w:t>Mixed: usefulness depends on task type and integration quality.</w:t>
            </w:r>
          </w:p>
        </w:tc>
        <w:tc>
          <w:tcPr>
            <w:tcW w:type="dxa" w:w="1184"/>
            <w:vAlign w:val="top"/>
          </w:tcPr>
          <w:p>
            <w:r>
              <w:rPr>
                <w:sz w:val="13"/>
              </w:rPr>
              <w:t>Results, pp. 8-13; Discussion, pp. 14-15</w:t>
            </w:r>
          </w:p>
        </w:tc>
        <w:tc>
          <w:tcPr>
            <w:tcW w:type="dxa" w:w="1184"/>
            <w:vAlign w:val="top"/>
          </w:tcPr>
          <w:p>
            <w:r>
              <w:rPr>
                <w:sz w:val="13"/>
              </w:rPr>
              <w:t>adoption intent</w:t>
            </w:r>
          </w:p>
        </w:tc>
      </w:tr>
      <w:tr>
        <w:tc>
          <w:tcPr>
            <w:tcW w:type="dxa" w:w="1184"/>
            <w:vAlign w:val="top"/>
          </w:tcPr>
          <w:p>
            <w:r>
              <w:rPr>
                <w:sz w:val="13"/>
              </w:rPr>
              <w:t>mendes_youre_2024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Practitioners described AI assistants as accelerators that help overcome inertia, while still requiring steering, review, and domain judgement.</w:t>
            </w:r>
          </w:p>
        </w:tc>
        <w:tc>
          <w:tcPr>
            <w:tcW w:type="dxa" w:w="1184"/>
            <w:vAlign w:val="top"/>
          </w:tcPr>
          <w:p>
            <w:r>
              <w:rPr>
                <w:sz w:val="13"/>
              </w:rPr>
              <w:t>Qualitative interviews with software engineers.</w:t>
            </w:r>
          </w:p>
        </w:tc>
        <w:tc>
          <w:tcPr>
            <w:tcW w:type="dxa" w:w="1184"/>
            <w:vAlign w:val="top"/>
          </w:tcPr>
          <w:p>
            <w:r>
              <w:rPr>
                <w:sz w:val="13"/>
              </w:rPr>
              <w:t>Positive but conditional: value arises when developers remain actively in control.</w:t>
            </w:r>
          </w:p>
        </w:tc>
        <w:tc>
          <w:tcPr>
            <w:tcW w:type="dxa" w:w="1184"/>
            <w:vAlign w:val="top"/>
          </w:tcPr>
          <w:p>
            <w:r>
              <w:rPr>
                <w:sz w:val="13"/>
              </w:rPr>
              <w:t>Findings, pp. 5-9; Discussion, pp. 10-11</w:t>
            </w:r>
          </w:p>
        </w:tc>
        <w:tc>
          <w:tcPr>
            <w:tcW w:type="dxa" w:w="1184"/>
            <w:vAlign w:val="top"/>
          </w:tcPr>
          <w:p>
            <w:r>
              <w:rPr>
                <w:sz w:val="13"/>
              </w:rPr>
              <w:t>satisfaction</w:t>
            </w:r>
          </w:p>
        </w:tc>
      </w:tr>
      <w:tr>
        <w:tc>
          <w:tcPr>
            <w:tcW w:type="dxa" w:w="1184"/>
            <w:vAlign w:val="top"/>
          </w:tcPr>
          <w:p>
            <w:r>
              <w:rPr>
                <w:sz w:val="13"/>
              </w:rPr>
              <w:t>rasnayaka_empirical_2024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Students and project developers used LLMs for ideation, code support, and explanation, reporting usefulness alongside concerns about dependence and correctness.</w:t>
            </w:r>
          </w:p>
        </w:tc>
        <w:tc>
          <w:tcPr>
            <w:tcW w:type="dxa" w:w="1184"/>
            <w:vAlign w:val="top"/>
          </w:tcPr>
          <w:p>
            <w:r>
              <w:rPr>
                <w:sz w:val="13"/>
              </w:rPr>
              <w:t>Survey/interview evidence from a software engineering project.</w:t>
            </w:r>
          </w:p>
        </w:tc>
        <w:tc>
          <w:tcPr>
            <w:tcW w:type="dxa" w:w="1184"/>
            <w:vAlign w:val="top"/>
          </w:tcPr>
          <w:p>
            <w:r>
              <w:rPr>
                <w:sz w:val="13"/>
              </w:rPr>
              <w:t>Mixed: perceived value coexists with validation and learning concerns.</w:t>
            </w:r>
          </w:p>
        </w:tc>
        <w:tc>
          <w:tcPr>
            <w:tcW w:type="dxa" w:w="1184"/>
            <w:vAlign w:val="top"/>
          </w:tcPr>
          <w:p>
            <w:r>
              <w:rPr>
                <w:sz w:val="13"/>
              </w:rPr>
              <w:t>Results and Discussion, pp. 7-12</w:t>
            </w:r>
          </w:p>
        </w:tc>
        <w:tc>
          <w:tcPr>
            <w:tcW w:type="dxa" w:w="1184"/>
            <w:vAlign w:val="top"/>
          </w:tcPr>
          <w:p>
            <w:r>
              <w:rPr>
                <w:sz w:val="13"/>
              </w:rPr>
              <w:t>perceived productivity</w:t>
            </w:r>
          </w:p>
        </w:tc>
      </w:tr>
      <w:tr>
        <w:tc>
          <w:tcPr>
            <w:tcW w:type="dxa" w:w="1184"/>
            <w:vAlign w:val="top"/>
          </w:tcPr>
          <w:p>
            <w:r>
              <w:rPr>
                <w:sz w:val="13"/>
              </w:rPr>
              <w:t>hellas_exploring_2023</w:t>
            </w:r>
          </w:p>
        </w:tc>
        <w:tc>
          <w:tcPr>
            <w:tcW w:type="dxa" w:w="1184"/>
            <w:vAlign w:val="top"/>
          </w:tcPr>
          <w:p>
            <w:r>
              <w:rPr>
                <w:sz w:val="13"/>
              </w:rPr>
              <w:t>2023</w:t>
            </w:r>
          </w:p>
        </w:tc>
        <w:tc>
          <w:tcPr>
            <w:tcW w:type="dxa" w:w="1184"/>
            <w:vAlign w:val="top"/>
          </w:tcPr>
          <w:p>
            <w:r>
              <w:rPr>
                <w:sz w:val="13"/>
              </w:rPr>
              <w:t>A1</w:t>
            </w:r>
          </w:p>
        </w:tc>
        <w:tc>
          <w:tcPr>
            <w:tcW w:type="dxa" w:w="1184"/>
            <w:vAlign w:val="top"/>
          </w:tcPr>
          <w:p>
            <w:r>
              <w:rPr>
                <w:sz w:val="13"/>
              </w:rPr>
              <w:t>SUPPORTING</w:t>
            </w:r>
          </w:p>
        </w:tc>
        <w:tc>
          <w:tcPr>
            <w:tcW w:type="dxa" w:w="1184"/>
            <w:vAlign w:val="top"/>
          </w:tcPr>
          <w:p>
            <w:r>
              <w:rPr>
                <w:sz w:val="13"/>
              </w:rPr>
              <w:t>For beginner programmers, LLM help responses were often useful but could be incomplete, misleading, or mismatched to learners’ needs.</w:t>
            </w:r>
          </w:p>
        </w:tc>
        <w:tc>
          <w:tcPr>
            <w:tcW w:type="dxa" w:w="1184"/>
            <w:vAlign w:val="top"/>
          </w:tcPr>
          <w:p>
            <w:r>
              <w:rPr>
                <w:sz w:val="13"/>
              </w:rPr>
              <w:t>Evaluation of LLM responses to beginner help requests.</w:t>
            </w:r>
          </w:p>
        </w:tc>
        <w:tc>
          <w:tcPr>
            <w:tcW w:type="dxa" w:w="1184"/>
            <w:vAlign w:val="top"/>
          </w:tcPr>
          <w:p>
            <w:r>
              <w:rPr>
                <w:sz w:val="13"/>
              </w:rPr>
              <w:t>Mixed: accessibility benefit depends on pedagogical fit.</w:t>
            </w:r>
          </w:p>
        </w:tc>
        <w:tc>
          <w:tcPr>
            <w:tcW w:type="dxa" w:w="1184"/>
            <w:vAlign w:val="top"/>
          </w:tcPr>
          <w:p>
            <w:r>
              <w:rPr>
                <w:sz w:val="13"/>
              </w:rPr>
              <w:t>Results, pp. 7-12; Discussion, pp. 13-15</w:t>
            </w:r>
          </w:p>
        </w:tc>
        <w:tc>
          <w:tcPr>
            <w:tcW w:type="dxa" w:w="1184"/>
            <w:vAlign w:val="top"/>
          </w:tcPr>
          <w:p>
            <w:r>
              <w:rPr>
                <w:sz w:val="13"/>
              </w:rPr>
              <w:t>accessibility</w:t>
            </w:r>
          </w:p>
        </w:tc>
      </w:tr>
      <w:tr>
        <w:tc>
          <w:tcPr>
            <w:tcW w:type="dxa" w:w="1184"/>
            <w:vAlign w:val="top"/>
          </w:tcPr>
          <w:p>
            <w:r>
              <w:rPr>
                <w:sz w:val="13"/>
              </w:rPr>
              <w:t>eibl_exploring_2025</w:t>
            </w:r>
          </w:p>
        </w:tc>
        <w:tc>
          <w:tcPr>
            <w:tcW w:type="dxa" w:w="1184"/>
            <w:vAlign w:val="top"/>
          </w:tcPr>
          <w:p>
            <w:r>
              <w:rPr>
                <w:sz w:val="13"/>
              </w:rPr>
              <w:t>2025</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Codebase-generation agents reduced some low-level work but produced low satisfaction when functionality, code quality, or communication failed.</w:t>
            </w:r>
          </w:p>
        </w:tc>
        <w:tc>
          <w:tcPr>
            <w:tcW w:type="dxa" w:w="1184"/>
            <w:vAlign w:val="top"/>
          </w:tcPr>
          <w:p>
            <w:r>
              <w:rPr>
                <w:sz w:val="13"/>
              </w:rPr>
              <w:t>16-participant counterbalanced user study/interviews; overall satisfaction below neutral; dissatisfaction tied to functionality, code quality, communication.</w:t>
            </w:r>
          </w:p>
        </w:tc>
        <w:tc>
          <w:tcPr>
            <w:tcW w:type="dxa" w:w="1184"/>
            <w:vAlign w:val="top"/>
          </w:tcPr>
          <w:p>
            <w:r>
              <w:rPr>
                <w:sz w:val="13"/>
              </w:rPr>
              <w:t>Negative-to-mixed: higher automation increased expectation and dissatisfaction.</w:t>
            </w:r>
          </w:p>
        </w:tc>
        <w:tc>
          <w:tcPr>
            <w:tcW w:type="dxa" w:w="1184"/>
            <w:vAlign w:val="top"/>
          </w:tcPr>
          <w:p>
            <w:r>
              <w:rPr>
                <w:sz w:val="13"/>
              </w:rPr>
              <w:t>Results, pp. 5-10; Discussion, pp. 11-13</w:t>
            </w:r>
          </w:p>
        </w:tc>
        <w:tc>
          <w:tcPr>
            <w:tcW w:type="dxa" w:w="1184"/>
            <w:vAlign w:val="top"/>
          </w:tcPr>
          <w:p>
            <w:r>
              <w:rPr>
                <w:sz w:val="13"/>
              </w:rPr>
              <w:t>satisfaction</w:t>
            </w:r>
          </w:p>
        </w:tc>
      </w:tr>
      <w:tr>
        <w:tc>
          <w:tcPr>
            <w:tcW w:type="dxa" w:w="1184"/>
            <w:vAlign w:val="top"/>
          </w:tcPr>
          <w:p>
            <w:r>
              <w:rPr>
                <w:sz w:val="13"/>
              </w:rPr>
              <w:t>ng_harnessing_2024</w:t>
            </w:r>
          </w:p>
        </w:tc>
        <w:tc>
          <w:tcPr>
            <w:tcW w:type="dxa" w:w="1184"/>
            <w:vAlign w:val="top"/>
          </w:tcPr>
          <w:p>
            <w:r>
              <w:rPr>
                <w:sz w:val="13"/>
              </w:rPr>
              <w:t>2024</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Public-sector developers saw potential for efficiency and capability building, but adoption depended on governance, security, and organisational fit.</w:t>
            </w:r>
          </w:p>
        </w:tc>
        <w:tc>
          <w:tcPr>
            <w:tcW w:type="dxa" w:w="1184"/>
            <w:vAlign w:val="top"/>
          </w:tcPr>
          <w:p>
            <w:r>
              <w:rPr>
                <w:sz w:val="13"/>
              </w:rPr>
              <w:t>Mixed-methods public-sector study of Gen-AI coding assistants.</w:t>
            </w:r>
          </w:p>
        </w:tc>
        <w:tc>
          <w:tcPr>
            <w:tcW w:type="dxa" w:w="1184"/>
            <w:vAlign w:val="top"/>
          </w:tcPr>
          <w:p>
            <w:r>
              <w:rPr>
                <w:sz w:val="13"/>
              </w:rPr>
              <w:t>Positive but bounded by institutional adoption constraints.</w:t>
            </w:r>
          </w:p>
        </w:tc>
        <w:tc>
          <w:tcPr>
            <w:tcW w:type="dxa" w:w="1184"/>
            <w:vAlign w:val="top"/>
          </w:tcPr>
          <w:p>
            <w:r>
              <w:rPr>
                <w:sz w:val="13"/>
              </w:rPr>
              <w:t>Findings and Discussion, pp. 6-11</w:t>
            </w:r>
          </w:p>
        </w:tc>
        <w:tc>
          <w:tcPr>
            <w:tcW w:type="dxa" w:w="1184"/>
            <w:vAlign w:val="top"/>
          </w:tcPr>
          <w:p>
            <w:r>
              <w:rPr>
                <w:sz w:val="13"/>
              </w:rPr>
              <w:t>adoption intent</w:t>
            </w:r>
          </w:p>
        </w:tc>
      </w:tr>
      <w:tr>
        <w:tc>
          <w:tcPr>
            <w:tcW w:type="dxa" w:w="1184"/>
            <w:vAlign w:val="top"/>
          </w:tcPr>
          <w:p>
            <w:r>
              <w:rPr>
                <w:sz w:val="13"/>
              </w:rPr>
              <w:t>madampe_how_2025</w:t>
            </w:r>
          </w:p>
        </w:tc>
        <w:tc>
          <w:tcPr>
            <w:tcW w:type="dxa" w:w="1184"/>
            <w:vAlign w:val="top"/>
          </w:tcPr>
          <w:p>
            <w:r>
              <w:rPr>
                <w:sz w:val="13"/>
              </w:rPr>
              <w:t>2025</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For privacy-related code generation, developers valued assistance but emphasised that privacy correctness and contextual judgement could not be delegated.</w:t>
            </w:r>
          </w:p>
        </w:tc>
        <w:tc>
          <w:tcPr>
            <w:tcW w:type="dxa" w:w="1184"/>
            <w:vAlign w:val="top"/>
          </w:tcPr>
          <w:p>
            <w:r>
              <w:rPr>
                <w:sz w:val="13"/>
              </w:rPr>
              <w:t>Developer-experience study for privacy-related code generation.</w:t>
            </w:r>
          </w:p>
        </w:tc>
        <w:tc>
          <w:tcPr>
            <w:tcW w:type="dxa" w:w="1184"/>
            <w:vAlign w:val="top"/>
          </w:tcPr>
          <w:p>
            <w:r>
              <w:rPr>
                <w:sz w:val="13"/>
              </w:rPr>
              <w:t>Mixed: assistance useful only with strong human validation.</w:t>
            </w:r>
          </w:p>
        </w:tc>
        <w:tc>
          <w:tcPr>
            <w:tcW w:type="dxa" w:w="1184"/>
            <w:vAlign w:val="top"/>
          </w:tcPr>
          <w:p>
            <w:r>
              <w:rPr>
                <w:sz w:val="13"/>
              </w:rPr>
              <w:t>Results, pp. 4-8; Discussion, pp. 8-10</w:t>
            </w:r>
          </w:p>
        </w:tc>
        <w:tc>
          <w:tcPr>
            <w:tcW w:type="dxa" w:w="1184"/>
            <w:vAlign w:val="top"/>
          </w:tcPr>
          <w:p>
            <w:r>
              <w:rPr>
                <w:sz w:val="13"/>
              </w:rPr>
              <w:t>usability</w:t>
            </w:r>
          </w:p>
        </w:tc>
      </w:tr>
      <w:tr>
        <w:tc>
          <w:tcPr>
            <w:tcW w:type="dxa" w:w="1184"/>
            <w:vAlign w:val="top"/>
          </w:tcPr>
          <w:p>
            <w:r>
              <w:rPr>
                <w:sz w:val="13"/>
              </w:rPr>
              <w:t>bento_leveraging_2025</w:t>
            </w:r>
          </w:p>
        </w:tc>
        <w:tc>
          <w:tcPr>
            <w:tcW w:type="dxa" w:w="1184"/>
            <w:vAlign w:val="top"/>
          </w:tcPr>
          <w:p>
            <w:r>
              <w:rPr>
                <w:sz w:val="13"/>
              </w:rPr>
              <w:t>2025</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Engineering students reported high satisfaction with assisted AI use, while the study warned about over-reliance and uneven quality.</w:t>
            </w:r>
          </w:p>
        </w:tc>
        <w:tc>
          <w:tcPr>
            <w:tcW w:type="dxa" w:w="1184"/>
            <w:vAlign w:val="top"/>
          </w:tcPr>
          <w:p>
            <w:r>
              <w:rPr>
                <w:sz w:val="13"/>
              </w:rPr>
              <w:t>25-student course challenge; survey reports 96% satisfaction.</w:t>
            </w:r>
          </w:p>
        </w:tc>
        <w:tc>
          <w:tcPr>
            <w:tcW w:type="dxa" w:w="1184"/>
            <w:vAlign w:val="top"/>
          </w:tcPr>
          <w:p>
            <w:r>
              <w:rPr>
                <w:sz w:val="13"/>
              </w:rPr>
              <w:t>Positive perception with learning-quality caveat.</w:t>
            </w:r>
          </w:p>
        </w:tc>
        <w:tc>
          <w:tcPr>
            <w:tcW w:type="dxa" w:w="1184"/>
            <w:vAlign w:val="top"/>
          </w:tcPr>
          <w:p>
            <w:r>
              <w:rPr>
                <w:sz w:val="13"/>
              </w:rPr>
              <w:t>Results and Discussion, pp. 4-8</w:t>
            </w:r>
          </w:p>
        </w:tc>
        <w:tc>
          <w:tcPr>
            <w:tcW w:type="dxa" w:w="1184"/>
            <w:vAlign w:val="top"/>
          </w:tcPr>
          <w:p>
            <w:r>
              <w:rPr>
                <w:sz w:val="13"/>
              </w:rPr>
              <w:t>satisfaction</w:t>
            </w:r>
          </w:p>
        </w:tc>
      </w:tr>
      <w:tr>
        <w:tc>
          <w:tcPr>
            <w:tcW w:type="dxa" w:w="1184"/>
            <w:vAlign w:val="top"/>
          </w:tcPr>
          <w:p>
            <w:r>
              <w:rPr>
                <w:sz w:val="13"/>
              </w:rPr>
              <w:t>chen_code_2025</w:t>
            </w:r>
          </w:p>
        </w:tc>
        <w:tc>
          <w:tcPr>
            <w:tcW w:type="dxa" w:w="1184"/>
            <w:vAlign w:val="top"/>
          </w:tcPr>
          <w:p>
            <w:r>
              <w:rPr>
                <w:sz w:val="13"/>
              </w:rPr>
              <w:t>2025</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Agentic coding increased task completion and reduced direct effort, but participants needed better understanding of agent behaviour for reliable adoption.</w:t>
            </w:r>
          </w:p>
        </w:tc>
        <w:tc>
          <w:tcPr>
            <w:tcW w:type="dxa" w:w="1184"/>
            <w:vAlign w:val="top"/>
          </w:tcPr>
          <w:p>
            <w:r>
              <w:rPr>
                <w:sz w:val="13"/>
              </w:rPr>
              <w:t>Within-participant comparison of copilot and agentic assistants.</w:t>
            </w:r>
          </w:p>
        </w:tc>
        <w:tc>
          <w:tcPr>
            <w:tcW w:type="dxa" w:w="1184"/>
            <w:vAlign w:val="top"/>
          </w:tcPr>
          <w:p>
            <w:r>
              <w:rPr>
                <w:sz w:val="13"/>
              </w:rPr>
              <w:t>Positive productivity, mixed usability due to observability and control issues.</w:t>
            </w:r>
          </w:p>
        </w:tc>
        <w:tc>
          <w:tcPr>
            <w:tcW w:type="dxa" w:w="1184"/>
            <w:vAlign w:val="top"/>
          </w:tcPr>
          <w:p>
            <w:r>
              <w:rPr>
                <w:sz w:val="13"/>
              </w:rPr>
              <w:t>Results, pp. 5-10; Discussion, pp. 11-13</w:t>
            </w:r>
          </w:p>
        </w:tc>
        <w:tc>
          <w:tcPr>
            <w:tcW w:type="dxa" w:w="1184"/>
            <w:vAlign w:val="top"/>
          </w:tcPr>
          <w:p>
            <w:r>
              <w:rPr>
                <w:sz w:val="13"/>
              </w:rPr>
              <w:t>perceived productivity</w:t>
            </w:r>
          </w:p>
        </w:tc>
      </w:tr>
      <w:tr>
        <w:tc>
          <w:tcPr>
            <w:tcW w:type="dxa" w:w="1184"/>
            <w:vAlign w:val="top"/>
          </w:tcPr>
          <w:p>
            <w:r>
              <w:rPr>
                <w:sz w:val="13"/>
              </w:rPr>
              <w:t>geyer_case_2025</w:t>
            </w:r>
          </w:p>
        </w:tc>
        <w:tc>
          <w:tcPr>
            <w:tcW w:type="dxa" w:w="1184"/>
            <w:vAlign w:val="top"/>
          </w:tcPr>
          <w:p>
            <w:r>
              <w:rPr>
                <w:sz w:val="13"/>
              </w:rPr>
              <w:t>2025</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Generative AI supported quality evaluation of agile epics by exposing issues and structuring discussion, but human interpretation remained central.</w:t>
            </w:r>
          </w:p>
        </w:tc>
        <w:tc>
          <w:tcPr>
            <w:tcW w:type="dxa" w:w="1184"/>
            <w:vAlign w:val="top"/>
          </w:tcPr>
          <w:p>
            <w:r>
              <w:rPr>
                <w:sz w:val="13"/>
              </w:rPr>
              <w:t>Case study of AI-supported epic quality evaluation.</w:t>
            </w:r>
          </w:p>
        </w:tc>
        <w:tc>
          <w:tcPr>
            <w:tcW w:type="dxa" w:w="1184"/>
            <w:vAlign w:val="top"/>
          </w:tcPr>
          <w:p>
            <w:r>
              <w:rPr>
                <w:sz w:val="13"/>
              </w:rPr>
              <w:t>Positive support, not autonomous replacement.</w:t>
            </w:r>
          </w:p>
        </w:tc>
        <w:tc>
          <w:tcPr>
            <w:tcW w:type="dxa" w:w="1184"/>
            <w:vAlign w:val="top"/>
          </w:tcPr>
          <w:p>
            <w:r>
              <w:rPr>
                <w:sz w:val="13"/>
              </w:rPr>
              <w:t>Findings, pp. 6-10; Discussion, pp. 11-12</w:t>
            </w:r>
          </w:p>
        </w:tc>
        <w:tc>
          <w:tcPr>
            <w:tcW w:type="dxa" w:w="1184"/>
            <w:vAlign w:val="top"/>
          </w:tcPr>
          <w:p>
            <w:r>
              <w:rPr>
                <w:sz w:val="13"/>
              </w:rPr>
              <w:t>perceived productivity</w:t>
            </w:r>
          </w:p>
        </w:tc>
      </w:tr>
      <w:tr>
        <w:tc>
          <w:tcPr>
            <w:tcW w:type="dxa" w:w="1184"/>
            <w:vAlign w:val="top"/>
          </w:tcPr>
          <w:p>
            <w:r>
              <w:rPr>
                <w:sz w:val="13"/>
              </w:rPr>
              <w:t>surk_reducing_2026</w:t>
            </w:r>
          </w:p>
        </w:tc>
        <w:tc>
          <w:tcPr>
            <w:tcW w:type="dxa" w:w="1184"/>
            <w:vAlign w:val="top"/>
          </w:tcPr>
          <w:p>
            <w:r>
              <w:rPr>
                <w:sz w:val="13"/>
              </w:rPr>
              <w:t>2026</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An LLM reverse-engineering assistant helped clarify requirements and implementation impacts, reducing exploratory effort in product-management contexts.</w:t>
            </w:r>
          </w:p>
        </w:tc>
        <w:tc>
          <w:tcPr>
            <w:tcW w:type="dxa" w:w="1184"/>
            <w:vAlign w:val="top"/>
          </w:tcPr>
          <w:p>
            <w:r>
              <w:rPr>
                <w:sz w:val="13"/>
              </w:rPr>
              <w:t>Evaluation across multiple codebases including ERPNext, Ghost, and Odoo.</w:t>
            </w:r>
          </w:p>
        </w:tc>
        <w:tc>
          <w:tcPr>
            <w:tcW w:type="dxa" w:w="1184"/>
            <w:vAlign w:val="top"/>
          </w:tcPr>
          <w:p>
            <w:r>
              <w:rPr>
                <w:sz w:val="13"/>
              </w:rPr>
              <w:t>Positive in special context: reduces information asymmetry.</w:t>
            </w:r>
          </w:p>
        </w:tc>
        <w:tc>
          <w:tcPr>
            <w:tcW w:type="dxa" w:w="1184"/>
            <w:vAlign w:val="top"/>
          </w:tcPr>
          <w:p>
            <w:r>
              <w:rPr>
                <w:sz w:val="13"/>
              </w:rPr>
              <w:t>Evaluation, pp. 14-19; Discussion, pp. 20-22</w:t>
            </w:r>
          </w:p>
        </w:tc>
        <w:tc>
          <w:tcPr>
            <w:tcW w:type="dxa" w:w="1184"/>
            <w:vAlign w:val="top"/>
          </w:tcPr>
          <w:p>
            <w:r>
              <w:rPr>
                <w:sz w:val="13"/>
              </w:rPr>
              <w:t>accessibility</w:t>
            </w:r>
          </w:p>
        </w:tc>
      </w:tr>
      <w:tr>
        <w:tc>
          <w:tcPr>
            <w:tcW w:type="dxa" w:w="1184"/>
            <w:vAlign w:val="top"/>
          </w:tcPr>
          <w:p>
            <w:r>
              <w:rPr>
                <w:sz w:val="13"/>
              </w:rPr>
              <w:t>haeggstrom_hands-use_2024</w:t>
            </w:r>
          </w:p>
        </w:tc>
        <w:tc>
          <w:tcPr>
            <w:tcW w:type="dxa" w:w="1184"/>
            <w:vAlign w:val="top"/>
          </w:tcPr>
          <w:p>
            <w:r>
              <w:rPr>
                <w:sz w:val="13"/>
              </w:rPr>
              <w:t>2024</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A GPT-4 test-generation prototype was seen as useful for accelerating test-case generation, while privacy and scaling issues constrained adoption.</w:t>
            </w:r>
          </w:p>
        </w:tc>
        <w:tc>
          <w:tcPr>
            <w:tcW w:type="dxa" w:w="1184"/>
            <w:vAlign w:val="top"/>
          </w:tcPr>
          <w:p>
            <w:r>
              <w:rPr>
                <w:sz w:val="13"/>
              </w:rPr>
              <w:t>Prototype evaluation with five employees.</w:t>
            </w:r>
          </w:p>
        </w:tc>
        <w:tc>
          <w:tcPr>
            <w:tcW w:type="dxa" w:w="1184"/>
            <w:vAlign w:val="top"/>
          </w:tcPr>
          <w:p>
            <w:r>
              <w:rPr>
                <w:sz w:val="13"/>
              </w:rPr>
              <w:t>Positive but preliminary: small-sample adoption signal.</w:t>
            </w:r>
          </w:p>
        </w:tc>
        <w:tc>
          <w:tcPr>
            <w:tcW w:type="dxa" w:w="1184"/>
            <w:vAlign w:val="top"/>
          </w:tcPr>
          <w:p>
            <w:r>
              <w:rPr>
                <w:sz w:val="13"/>
              </w:rPr>
              <w:t>Results and Discussion, pp. 19-31</w:t>
            </w:r>
          </w:p>
        </w:tc>
        <w:tc>
          <w:tcPr>
            <w:tcW w:type="dxa" w:w="1184"/>
            <w:vAlign w:val="top"/>
          </w:tcPr>
          <w:p>
            <w:r>
              <w:rPr>
                <w:sz w:val="13"/>
              </w:rPr>
              <w:t>adoption intent</w:t>
            </w:r>
          </w:p>
        </w:tc>
      </w:tr>
      <w:tr>
        <w:tc>
          <w:tcPr>
            <w:tcW w:type="dxa" w:w="1184"/>
            <w:vAlign w:val="top"/>
          </w:tcPr>
          <w:p>
            <w:r>
              <w:rPr>
                <w:sz w:val="13"/>
              </w:rPr>
              <w:t>imai_is_2022</w:t>
            </w:r>
          </w:p>
        </w:tc>
        <w:tc>
          <w:tcPr>
            <w:tcW w:type="dxa" w:w="1184"/>
            <w:vAlign w:val="top"/>
          </w:tcPr>
          <w:p>
            <w:r>
              <w:rPr>
                <w:sz w:val="13"/>
              </w:rPr>
              <w:t>2022</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Copilot increased code volume, but this did not equate to better quality, limiting its interpretation as a substitute for human pair programming.</w:t>
            </w:r>
          </w:p>
        </w:tc>
        <w:tc>
          <w:tcPr>
            <w:tcW w:type="dxa" w:w="1184"/>
            <w:vAlign w:val="top"/>
          </w:tcPr>
          <w:p>
            <w:r>
              <w:rPr>
                <w:sz w:val="13"/>
              </w:rPr>
              <w:t>21-participant experiment; productivity measured through lines of code; quality assessed separately.</w:t>
            </w:r>
          </w:p>
        </w:tc>
        <w:tc>
          <w:tcPr>
            <w:tcW w:type="dxa" w:w="1184"/>
            <w:vAlign w:val="top"/>
          </w:tcPr>
          <w:p>
            <w:r>
              <w:rPr>
                <w:sz w:val="13"/>
              </w:rPr>
              <w:t>Mixed: output quantity improved more than quality.</w:t>
            </w:r>
          </w:p>
        </w:tc>
        <w:tc>
          <w:tcPr>
            <w:tcW w:type="dxa" w:w="1184"/>
            <w:vAlign w:val="top"/>
          </w:tcPr>
          <w:p>
            <w:r>
              <w:rPr>
                <w:sz w:val="13"/>
              </w:rPr>
              <w:t>Results, pp. 3-5; Discussion, pp. 5-6</w:t>
            </w:r>
          </w:p>
        </w:tc>
        <w:tc>
          <w:tcPr>
            <w:tcW w:type="dxa" w:w="1184"/>
            <w:vAlign w:val="top"/>
          </w:tcPr>
          <w:p>
            <w:r>
              <w:rPr>
                <w:sz w:val="13"/>
              </w:rPr>
              <w:t>perceived productivity</w:t>
            </w:r>
          </w:p>
        </w:tc>
      </w:tr>
    </w:tbl>
    <w:p>
      <w:pPr>
        <w:pStyle w:val="Heading1"/>
      </w:pPr>
      <w:r>
        <w:t>2. Analytical narrative</w:t>
      </w:r>
    </w:p>
    <w:p>
      <w:pPr>
        <w:pStyle w:val="Heading2"/>
      </w:pPr>
      <w:r>
        <w:t>Perceived productivity and satisfaction in SUPPORT evidence: do perceptions align with outcomes?</w:t>
      </w:r>
    </w:p>
    <w:p>
      <w:r>
        <w:t>The SUPPORT evidence does not support a simple equivalence between positive experience and better measured outcomes. In the early in-IDE and Copilot studies, participants often liked having a generated starting point, search substitute, or scaffold, yet quantitative measures showed weaker or uneven gains: Xu et al. found positive qualitative reactions without reliable speed or correctness improvements [2], while Vaithilingam et al. reported that most participants preferred Copilot-style support but still struggled to understand and debug generated code [1]. Imai similarly separates productivity as code volume from quality, showing that more generated lines are not the same as better pair-programming outcomes [16]. More recent evidence preserves this tension. Chen et al. suggest that agentic tools can increase task completion and reduce direct effort, but their benefits depend on users understanding agent behaviour [12]. Bento et al. report very high student satisfaction, but their own discussion treats over-reliance and quality variation as constraints on interpreting satisfaction as learning or engineering success [11].</w:t>
      </w:r>
    </w:p>
    <w:p>
      <w:pPr>
        <w:pStyle w:val="Heading2"/>
      </w:pPr>
      <w:r>
        <w:t>Usability factors: what makes AI coding tools easier or harder to use effectively</w:t>
      </w:r>
    </w:p>
    <w:p>
      <w:r>
        <w:t>Across SUPPORT studies, usability is less about interface convenience alone and more about fit between recommendation, task, context, and verification. Liang et al.’s large-scale survey shows that developers value AI programming assistants but encounter irrelevant outputs, unmet functional requirements, and debugging costs [3]. Tan et al. add that usefulness differs by recommendation granularity and that developers modify or reject outputs because of format mismatch, flawed logic, and inconsistent style [4]. Mendes et al. give the qualitative mechanism behind these patterns: practitioners treat assistants as a “little motor” that accelerates work, not as a replacement for steering, domain judgement, or review [5]. In privacy-related coding, Madampe et al. make the same point in a higher-stakes setting: assistance is useful, but privacy correctness and contextual judgement remain human responsibilities [10]. Eibl et al. show the usability problem becomes sharper for codebase-generation agents, where failures in functionality, code quality, and communication drive dissatisfaction despite the promise of reducing low-level work [8].</w:t>
      </w:r>
    </w:p>
    <w:p>
      <w:pPr>
        <w:pStyle w:val="Heading2"/>
      </w:pPr>
      <w:r>
        <w:t>Adoption patterns and continuance in SUPPORT studies</w:t>
      </w:r>
    </w:p>
    <w:p>
      <w:r>
        <w:t>Adoption appears conditional rather than automatic. Developers continue using assistants when the tools lower friction, support exploration, or help them move past blank-page moments, but continuance weakens when validation costs, governance risks, or opacity dominate. Rasnayaka et al. show that software-project participants used LLMs for ideation, code support, and explanation, while still worrying about dependence and correctness [6]. Ng et al. extend this into public-sector development, where efficiency and capability building are attractive but adoption is filtered through security, governance, and organisational fit [9]. Haeggström’s prototype evaluation provides a small-sample but useful special-case signal: employees perceived GPT-4-supported test-case generation as useful, yet privacy, scaling, and integration issues constrained broader uptake [15]. Geyer et al. similarly position generative AI as an aid to quality evaluation of agile epics rather than an autonomous decision maker, suggesting that adoption is strongest when AI outputs structure human discussion rather than close it [13].</w:t>
      </w:r>
    </w:p>
    <w:p>
      <w:pPr>
        <w:pStyle w:val="Heading2"/>
      </w:pPr>
      <w:r>
        <w:t>Accessibility and special-context developer experience</w:t>
      </w:r>
    </w:p>
    <w:p>
      <w:r>
        <w:t>The SUPPORT corpus also extends experience beyond professional IDE productivity. Hellas et al. show that LLM responses can make help more accessible to beginner programmers, but only when responses are pedagogically aligned and not misleading [7]. Surk et al. move accessibility into product-management and requirements contexts: their reverse-engineering assistant aims to reduce information asymmetry by clarifying implementation impacts across codebases [14]. These papers broaden developer experience from “does the tool write code faster?” to “does the tool make relevant technical information more usable for people with different expertise, roles, and constraints?” Coverage remains thin, especially for disabled developers, neurodivergent developers, and long-term professional continuance. The evidence is therefore strongest for perceived usefulness, usability barriers, and conditional adoption, and weaker for durable accessibility outcomes or identity-related experience.</w:t>
      </w:r>
    </w:p>
    <w:p>
      <w:pPr>
        <w:pStyle w:val="Heading1"/>
      </w:pPr>
      <w:r>
        <w:t>3. Triangulation note</w:t>
      </w:r>
    </w:p>
    <w:p>
      <w:r>
        <w:t>These SUPPORT findings confirm the broader CORE-level interpretation that prompting is not a mechanical input-output skill but part of an interactive work practice. The support studies nuance that interpretation by showing why prompting succeeds or fails in experience terms: users must frame tasks, inspect outputs, repair mismatches, and decide when generated artefacts are trustworthy enough to incorporate. The evidence also extends the prompting discussion beyond prompt wording into workflow design, observability, governance, and role-specific accessibility. In other words, SUPPORT evidence suggests that better prompting matters, but it is insufficient unless the surrounding tool interaction makes generated code understandable, controllable, and situated in the developer’s task context.</w:t>
      </w:r>
    </w:p>
    <w:p>
      <w:pPr>
        <w:pStyle w:val="Heading1"/>
      </w:pPr>
      <w:r>
        <w:t>4. References</w:t>
      </w:r>
    </w:p>
    <w:p>
      <w:r>
        <w:t>[1] Expectation vs. Experience: Evaluating the Usability of Code Generation Tools Powered by Large Language Models. Vaithilingam, Priyan; Zhang, Tianyi; Glassman, Elena L., 2022. Bibkey: vaithilingam_expectation_2022.</w:t>
      </w:r>
    </w:p>
    <w:p>
      <w:r>
        <w:t>[2] In-IDE Code Generation from Natural Language: Promise and Challenges. Xu, Frank F.; Vasilescu, Bogdan; Neubig, Graham, 2022. Bibkey: xu_-ide_2022.</w:t>
      </w:r>
    </w:p>
    <w:p>
      <w:r>
        <w:t>[3] A Large-Scale Survey on the Usability of AI Programming Assistants: Successes and Challenges. Liang, Jenny T.; Yang, Chenyang; Myers, Brad A., 2024. Bibkey: liang_large-scale_2024.</w:t>
      </w:r>
    </w:p>
    <w:p>
      <w:r>
        <w:t>[4] How Far are AI-powered Programming Assistants from Meeting Developers' Needs?. Tan, Xin; Long, Xiao; Ni, Xianjun; Zhu, Yinghao; Jiang, Jing; Zhang, Li, 2024. Bibkey: tan_how_2024.</w:t>
      </w:r>
    </w:p>
    <w:p>
      <w:r>
        <w:t>[5] "You're on a bicycle with a little motor": Benefits and Challenges of Using AI Code Assistants. Mendes, Wendy; Souza, Samara; De Souza, Cleidson, 2024. Bibkey: mendes_youre_2024.</w:t>
      </w:r>
    </w:p>
    <w:p>
      <w:r>
        <w:t>[6] An Empirical Study on Usage and Perceptions of LLMs in a Software Engineering Project. Rasnayaka, Sanka; Wang, Guanlin; Shariffdeen, Ridwan; Iyer, Ganesh Neelakanta, 2024. Bibkey: rasnayaka_empirical_2024.</w:t>
      </w:r>
    </w:p>
    <w:p>
      <w:r>
        <w:t>[7] Exploring the Responses of Large Language Models to Beginner Programmers’ Help Requests. Hellas, Arto; Leinonen, Juho; Sarsa, Sami; Koutcheme, Charles; Kujanpää, Lilja; Sorva, Juha, 2023. Bibkey: hellas_exploring_2023.</w:t>
      </w:r>
    </w:p>
    <w:p>
      <w:r>
        <w:t>[8] Exploring the Challenges and Opportunities of AI-assisted Codebase Generation. Eibl, Philipp; Sabouri, Sadra; Chattopadhyay, Souti, 2025. Bibkey: eibl_exploring_2025.</w:t>
      </w:r>
    </w:p>
    <w:p>
      <w:r>
        <w:t>[9] Harnessing the Potential of Gen-AI Coding Assistants in Public Sector Software Development. Ng, Kevin KB; Fauzi, Liyana; Leow, Leon; Ng, Jaren, 2024. Bibkey: ng_harnessing_2024.</w:t>
      </w:r>
    </w:p>
    <w:p>
      <w:r>
        <w:t>[10] How Are We Doing With Using AI-Based Programming Assistants For Privacy-Related Code Generation? The Developers' Experience. Madampe, Kashumi; Grundy, John; Arachchilage, Nalin, 2025. Bibkey: madampe_how_2025.</w:t>
      </w:r>
    </w:p>
    <w:p>
      <w:r>
        <w:t>[11] Leveraging AI Tools in Engineering Education: Promise and Pitfalls of AI in Software Development. Bento, Antonio Carlos; Silva, José Reinaldo; Barretto, Marcos Ribeiro Pereira; Camacho-León, Sérgio; Torres-Torres, Elsa Yolanda, 2025. Bibkey: bento_leveraging_2025.</w:t>
      </w:r>
    </w:p>
    <w:p>
      <w:r>
        <w:t>[12] Code with Me or for Me? How Increasing AI Automation Transforms Developer Workflows. Chen, Valerie; Talwalkar, Ameet; Brennan, Robert; Neubig, Graham, 2025. Bibkey: chen_code_2025.</w:t>
      </w:r>
    </w:p>
    <w:p>
      <w:r>
        <w:t>[13] A Case Study Investigating the Role of Generative AI in Quality Evaluations of Epics in Agile Software Development. Geyer, Werner; He, Jessic; Sarkar, Daita; Brachman, Michelle; Hammond, Chris; Heins, Jennifer; Ashktorab, Zahra; Rosemberg, Carlos; Hill, Charlie, 2025. Bibkey: geyer_case_2025.</w:t>
      </w:r>
    </w:p>
    <w:p>
      <w:r>
        <w:t>[14] Reducing Information Asymmetry in Software Product Management: An LLM-Based Reverse Engineering Framework. Surk, Emre; Menekşe Dalveren, Gonca Gökçe; Mohammad, Derawi, 2026. Bibkey: surk_reducing_2026.</w:t>
      </w:r>
    </w:p>
    <w:p>
      <w:r>
        <w:t>[15] Hands-on Use and Adaptation of AI in Developing and Testing Software Applications. Haeggström, Märta, 2024. Bibkey: haeggstrom_hands-use_2024.</w:t>
      </w:r>
    </w:p>
    <w:p>
      <w:r>
        <w:t>[16] Is GitHub Copilot a Substitute for Human Pair-programming? An Empirical Study. Imai, Saki, 2022. Bibkey: imai_is_2022.</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