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1.6 — NB4 HAI SUPPORT: Robustness, Prompt Sensitivity, and Agentic Reliability</w:t>
      </w:r>
    </w:p>
    <w:p>
      <w:r>
        <w:t>Corpus rule: all empirical claims below are grounded only in NB4_HAI_SUPPORT papers tagged SUPPORTING in Relación de Estudios.xlsx. Bibkeys were verified literally in NB4_HAI_Support.bib; quality tiers come from column S (Clasificación); bibliographic fields in the references come from NB4_HAI_Support.csv via the Zotero Key mapping.</w:t>
      </w:r>
    </w:p>
    <w:p>
      <w:pPr>
        <w:pStyle w:val="Heading1"/>
      </w:pPr>
      <w:r>
        <w:t>1. Evidence matrix</w:t>
      </w:r>
    </w:p>
    <w:tbl>
      <w:tblPr>
        <w:tblStyle w:val="TableGrid"/>
        <w:tblW w:type="auto" w:w="0"/>
        <w:jc w:val="center"/>
        <w:tblLook w:firstColumn="1" w:firstRow="1" w:lastColumn="0" w:lastRow="0" w:noHBand="0" w:noVBand="1" w:val="04A0"/>
      </w:tblPr>
      <w:tblGrid>
        <w:gridCol w:w="1726"/>
        <w:gridCol w:w="1726"/>
        <w:gridCol w:w="1726"/>
        <w:gridCol w:w="1726"/>
        <w:gridCol w:w="1726"/>
        <w:gridCol w:w="1726"/>
        <w:gridCol w:w="1726"/>
        <w:gridCol w:w="1726"/>
        <w:gridCol w:w="1726"/>
      </w:tblGrid>
      <w:tr>
        <w:tc>
          <w:tcPr>
            <w:tcW w:type="dxa" w:w="1726"/>
            <w:tcMar>
              <w:top w:w="40" w:type="dxa"/>
              <w:left w:w="40" w:type="dxa"/>
              <w:bottom w:w="40" w:type="dxa"/>
              <w:right w:w="40" w:type="dxa"/>
            </w:tcMar>
          </w:tcPr>
          <w:p>
            <w:r>
              <w:rPr>
                <w:rFonts w:ascii="Arial" w:hAnsi="Arial"/>
                <w:b/>
                <w:sz w:val="13"/>
              </w:rPr>
              <w:t>Bibkey</w:t>
            </w:r>
          </w:p>
        </w:tc>
        <w:tc>
          <w:tcPr>
            <w:tcW w:type="dxa" w:w="1726"/>
            <w:tcMar>
              <w:top w:w="40" w:type="dxa"/>
              <w:left w:w="40" w:type="dxa"/>
              <w:bottom w:w="40" w:type="dxa"/>
              <w:right w:w="40" w:type="dxa"/>
            </w:tcMar>
          </w:tcPr>
          <w:p>
            <w:r>
              <w:rPr>
                <w:rFonts w:ascii="Arial" w:hAnsi="Arial"/>
                <w:b/>
                <w:sz w:val="13"/>
              </w:rPr>
              <w:t>Year</w:t>
            </w:r>
          </w:p>
        </w:tc>
        <w:tc>
          <w:tcPr>
            <w:tcW w:type="dxa" w:w="1726"/>
            <w:tcMar>
              <w:top w:w="40" w:type="dxa"/>
              <w:left w:w="40" w:type="dxa"/>
              <w:bottom w:w="40" w:type="dxa"/>
              <w:right w:w="40" w:type="dxa"/>
            </w:tcMar>
          </w:tcPr>
          <w:p>
            <w:r>
              <w:rPr>
                <w:rFonts w:ascii="Arial" w:hAnsi="Arial"/>
                <w:b/>
                <w:sz w:val="13"/>
              </w:rPr>
              <w:t>Quality tier</w:t>
            </w:r>
          </w:p>
        </w:tc>
        <w:tc>
          <w:tcPr>
            <w:tcW w:type="dxa" w:w="1726"/>
            <w:tcMar>
              <w:top w:w="40" w:type="dxa"/>
              <w:left w:w="40" w:type="dxa"/>
              <w:bottom w:w="40" w:type="dxa"/>
              <w:right w:w="40" w:type="dxa"/>
            </w:tcMar>
          </w:tcPr>
          <w:p>
            <w:r>
              <w:rPr>
                <w:rFonts w:ascii="Arial" w:hAnsi="Arial"/>
                <w:b/>
                <w:sz w:val="13"/>
              </w:rPr>
              <w:t>Segment</w:t>
            </w:r>
          </w:p>
        </w:tc>
        <w:tc>
          <w:tcPr>
            <w:tcW w:type="dxa" w:w="1726"/>
            <w:tcMar>
              <w:top w:w="40" w:type="dxa"/>
              <w:left w:w="40" w:type="dxa"/>
              <w:bottom w:w="40" w:type="dxa"/>
              <w:right w:w="40" w:type="dxa"/>
            </w:tcMar>
          </w:tcPr>
          <w:p>
            <w:r>
              <w:rPr>
                <w:rFonts w:ascii="Arial" w:hAnsi="Arial"/>
                <w:b/>
                <w:sz w:val="13"/>
              </w:rPr>
              <w:t>Key finding (own words)</w:t>
            </w:r>
          </w:p>
        </w:tc>
        <w:tc>
          <w:tcPr>
            <w:tcW w:type="dxa" w:w="1726"/>
            <w:tcMar>
              <w:top w:w="40" w:type="dxa"/>
              <w:left w:w="40" w:type="dxa"/>
              <w:bottom w:w="40" w:type="dxa"/>
              <w:right w:w="40" w:type="dxa"/>
            </w:tcMar>
          </w:tcPr>
          <w:p>
            <w:r>
              <w:rPr>
                <w:rFonts w:ascii="Arial" w:hAnsi="Arial"/>
                <w:b/>
                <w:sz w:val="13"/>
              </w:rPr>
              <w:t>Metric/value</w:t>
            </w:r>
          </w:p>
        </w:tc>
        <w:tc>
          <w:tcPr>
            <w:tcW w:type="dxa" w:w="1726"/>
            <w:tcMar>
              <w:top w:w="40" w:type="dxa"/>
              <w:left w:w="40" w:type="dxa"/>
              <w:bottom w:w="40" w:type="dxa"/>
              <w:right w:w="40" w:type="dxa"/>
            </w:tcMar>
          </w:tcPr>
          <w:p>
            <w:r>
              <w:rPr>
                <w:rFonts w:ascii="Arial" w:hAnsi="Arial"/>
                <w:b/>
                <w:sz w:val="13"/>
              </w:rPr>
              <w:t>Directionality</w:t>
            </w:r>
          </w:p>
        </w:tc>
        <w:tc>
          <w:tcPr>
            <w:tcW w:type="dxa" w:w="1726"/>
            <w:tcMar>
              <w:top w:w="40" w:type="dxa"/>
              <w:left w:w="40" w:type="dxa"/>
              <w:bottom w:w="40" w:type="dxa"/>
              <w:right w:w="40" w:type="dxa"/>
            </w:tcMar>
          </w:tcPr>
          <w:p>
            <w:r>
              <w:rPr>
                <w:rFonts w:ascii="Arial" w:hAnsi="Arial"/>
                <w:b/>
                <w:sz w:val="13"/>
              </w:rPr>
              <w:t>PDF section + page</w:t>
            </w:r>
          </w:p>
        </w:tc>
        <w:tc>
          <w:tcPr>
            <w:tcW w:type="dxa" w:w="1726"/>
            <w:tcMar>
              <w:top w:w="40" w:type="dxa"/>
              <w:left w:w="40" w:type="dxa"/>
              <w:bottom w:w="40" w:type="dxa"/>
              <w:right w:w="40" w:type="dxa"/>
            </w:tcMar>
          </w:tcPr>
          <w:p>
            <w:r>
              <w:rPr>
                <w:rFonts w:ascii="Arial" w:hAnsi="Arial"/>
                <w:b/>
                <w:sz w:val="13"/>
              </w:rPr>
              <w:t>Robustness dimension</w:t>
            </w:r>
          </w:p>
        </w:tc>
      </w:tr>
      <w:tr>
        <w:tc>
          <w:tcPr>
            <w:tcW w:type="dxa" w:w="1726"/>
            <w:vAlign w:val="top"/>
            <w:tcMar>
              <w:top w:w="40" w:type="dxa"/>
              <w:left w:w="40" w:type="dxa"/>
              <w:bottom w:w="40" w:type="dxa"/>
              <w:right w:w="40" w:type="dxa"/>
            </w:tcMar>
          </w:tcPr>
          <w:p>
            <w:r>
              <w:rPr>
                <w:rFonts w:ascii="Arial" w:hAnsi="Arial"/>
                <w:sz w:val="13"/>
              </w:rPr>
              <w:t>mastropaolo_robustness_2023</w:t>
            </w:r>
          </w:p>
        </w:tc>
        <w:tc>
          <w:tcPr>
            <w:tcW w:type="dxa" w:w="1726"/>
            <w:vAlign w:val="top"/>
            <w:tcMar>
              <w:top w:w="40" w:type="dxa"/>
              <w:left w:w="40" w:type="dxa"/>
              <w:bottom w:w="40" w:type="dxa"/>
              <w:right w:w="40" w:type="dxa"/>
            </w:tcMar>
          </w:tcPr>
          <w:p>
            <w:r>
              <w:rPr>
                <w:rFonts w:ascii="Arial" w:hAnsi="Arial"/>
                <w:sz w:val="13"/>
              </w:rPr>
              <w:t>2023</w:t>
            </w:r>
          </w:p>
        </w:tc>
        <w:tc>
          <w:tcPr>
            <w:tcW w:type="dxa" w:w="1726"/>
            <w:vAlign w:val="top"/>
            <w:tcMar>
              <w:top w:w="40" w:type="dxa"/>
              <w:left w:w="40" w:type="dxa"/>
              <w:bottom w:w="40" w:type="dxa"/>
              <w:right w:w="40" w:type="dxa"/>
            </w:tcMar>
          </w:tcPr>
          <w:p>
            <w:r>
              <w:rPr>
                <w:rFonts w:ascii="Arial" w:hAnsi="Arial"/>
                <w:sz w:val="13"/>
              </w:rPr>
              <w:t>A2</w:t>
            </w:r>
          </w:p>
        </w:tc>
        <w:tc>
          <w:tcPr>
            <w:tcW w:type="dxa" w:w="1726"/>
            <w:vAlign w:val="top"/>
            <w:tcMar>
              <w:top w:w="40" w:type="dxa"/>
              <w:left w:w="40" w:type="dxa"/>
              <w:bottom w:w="40" w:type="dxa"/>
              <w:right w:w="40" w:type="dxa"/>
            </w:tcMar>
          </w:tcPr>
          <w:p>
            <w:r>
              <w:rPr>
                <w:rFonts w:ascii="Arial" w:hAnsi="Arial"/>
                <w:sz w:val="13"/>
              </w:rPr>
              <w:t>SUPPORTING</w:t>
            </w:r>
          </w:p>
        </w:tc>
        <w:tc>
          <w:tcPr>
            <w:tcW w:type="dxa" w:w="1726"/>
            <w:vAlign w:val="top"/>
            <w:tcMar>
              <w:top w:w="40" w:type="dxa"/>
              <w:left w:w="40" w:type="dxa"/>
              <w:bottom w:w="40" w:type="dxa"/>
              <w:right w:w="40" w:type="dxa"/>
            </w:tcMar>
          </w:tcPr>
          <w:p>
            <w:r>
              <w:rPr>
                <w:rFonts w:ascii="Arial" w:hAnsi="Arial"/>
                <w:sz w:val="13"/>
              </w:rPr>
              <w:t>Paraphrased, semantically equivalent descriptions frequently changed Copilot outputs; identical behaviour was uncommon, showing strong input sensitivity.</w:t>
            </w:r>
          </w:p>
        </w:tc>
        <w:tc>
          <w:tcPr>
            <w:tcW w:type="dxa" w:w="1726"/>
            <w:vAlign w:val="top"/>
            <w:tcMar>
              <w:top w:w="40" w:type="dxa"/>
              <w:left w:w="40" w:type="dxa"/>
              <w:bottom w:w="40" w:type="dxa"/>
              <w:right w:w="40" w:type="dxa"/>
            </w:tcMar>
          </w:tcPr>
          <w:p>
            <w:r>
              <w:rPr>
                <w:rFonts w:ascii="Arial" w:hAnsi="Arial"/>
                <w:sz w:val="13"/>
              </w:rPr>
              <w:t>28.66% same output; 46.30% same output category; only 27.43% same correct output after paraphrasing.</w:t>
            </w:r>
          </w:p>
        </w:tc>
        <w:tc>
          <w:tcPr>
            <w:tcW w:type="dxa" w:w="1726"/>
            <w:vAlign w:val="top"/>
            <w:tcMar>
              <w:top w:w="40" w:type="dxa"/>
              <w:left w:w="40" w:type="dxa"/>
              <w:bottom w:w="40" w:type="dxa"/>
              <w:right w:w="40" w:type="dxa"/>
            </w:tcMar>
          </w:tcPr>
          <w:p>
            <w:r>
              <w:rPr>
                <w:rFonts w:ascii="Arial" w:hAnsi="Arial"/>
                <w:sz w:val="13"/>
              </w:rPr>
              <w:t>Negative: equivalent prompts altered outputs and correctness.</w:t>
            </w:r>
          </w:p>
        </w:tc>
        <w:tc>
          <w:tcPr>
            <w:tcW w:type="dxa" w:w="1726"/>
            <w:vAlign w:val="top"/>
            <w:tcMar>
              <w:top w:w="40" w:type="dxa"/>
              <w:left w:w="40" w:type="dxa"/>
              <w:bottom w:w="40" w:type="dxa"/>
              <w:right w:w="40" w:type="dxa"/>
            </w:tcMar>
          </w:tcPr>
          <w:p>
            <w:r>
              <w:rPr>
                <w:rFonts w:ascii="Arial" w:hAnsi="Arial"/>
                <w:sz w:val="13"/>
              </w:rPr>
              <w:t>Results/RQ1-RQ2, pp. 7-10</w:t>
            </w:r>
          </w:p>
        </w:tc>
        <w:tc>
          <w:tcPr>
            <w:tcW w:type="dxa" w:w="1726"/>
            <w:vAlign w:val="top"/>
            <w:tcMar>
              <w:top w:w="40" w:type="dxa"/>
              <w:left w:w="40" w:type="dxa"/>
              <w:bottom w:w="40" w:type="dxa"/>
              <w:right w:w="40" w:type="dxa"/>
            </w:tcMar>
          </w:tcPr>
          <w:p>
            <w:r>
              <w:rPr>
                <w:rFonts w:ascii="Arial" w:hAnsi="Arial"/>
                <w:sz w:val="13"/>
              </w:rPr>
              <w:t>prompt sensitivity</w:t>
            </w:r>
          </w:p>
        </w:tc>
      </w:tr>
      <w:tr>
        <w:tc>
          <w:tcPr>
            <w:tcW w:type="dxa" w:w="1726"/>
            <w:vAlign w:val="top"/>
            <w:tcMar>
              <w:top w:w="40" w:type="dxa"/>
              <w:left w:w="40" w:type="dxa"/>
              <w:bottom w:w="40" w:type="dxa"/>
              <w:right w:w="40" w:type="dxa"/>
            </w:tcMar>
          </w:tcPr>
          <w:p>
            <w:r>
              <w:rPr>
                <w:rFonts w:ascii="Arial" w:hAnsi="Arial"/>
                <w:sz w:val="13"/>
              </w:rPr>
              <w:t>shirafuji_exploring_2023</w:t>
            </w:r>
          </w:p>
        </w:tc>
        <w:tc>
          <w:tcPr>
            <w:tcW w:type="dxa" w:w="1726"/>
            <w:vAlign w:val="top"/>
            <w:tcMar>
              <w:top w:w="40" w:type="dxa"/>
              <w:left w:w="40" w:type="dxa"/>
              <w:bottom w:w="40" w:type="dxa"/>
              <w:right w:w="40" w:type="dxa"/>
            </w:tcMar>
          </w:tcPr>
          <w:p>
            <w:r>
              <w:rPr>
                <w:rFonts w:ascii="Arial" w:hAnsi="Arial"/>
                <w:sz w:val="13"/>
              </w:rPr>
              <w:t>2023</w:t>
            </w:r>
          </w:p>
        </w:tc>
        <w:tc>
          <w:tcPr>
            <w:tcW w:type="dxa" w:w="1726"/>
            <w:vAlign w:val="top"/>
            <w:tcMar>
              <w:top w:w="40" w:type="dxa"/>
              <w:left w:w="40" w:type="dxa"/>
              <w:bottom w:w="40" w:type="dxa"/>
              <w:right w:w="40" w:type="dxa"/>
            </w:tcMar>
          </w:tcPr>
          <w:p>
            <w:r>
              <w:rPr>
                <w:rFonts w:ascii="Arial" w:hAnsi="Arial"/>
                <w:sz w:val="13"/>
              </w:rPr>
              <w:t>A1</w:t>
            </w:r>
          </w:p>
        </w:tc>
        <w:tc>
          <w:tcPr>
            <w:tcW w:type="dxa" w:w="1726"/>
            <w:vAlign w:val="top"/>
            <w:tcMar>
              <w:top w:w="40" w:type="dxa"/>
              <w:left w:w="40" w:type="dxa"/>
              <w:bottom w:w="40" w:type="dxa"/>
              <w:right w:w="40" w:type="dxa"/>
            </w:tcMar>
          </w:tcPr>
          <w:p>
            <w:r>
              <w:rPr>
                <w:rFonts w:ascii="Arial" w:hAnsi="Arial"/>
                <w:sz w:val="13"/>
              </w:rPr>
              <w:t>SUPPORTING</w:t>
            </w:r>
          </w:p>
        </w:tc>
        <w:tc>
          <w:tcPr>
            <w:tcW w:type="dxa" w:w="1726"/>
            <w:vAlign w:val="top"/>
            <w:tcMar>
              <w:top w:w="40" w:type="dxa"/>
              <w:left w:w="40" w:type="dxa"/>
              <w:bottom w:w="40" w:type="dxa"/>
              <w:right w:w="40" w:type="dxa"/>
            </w:tcMar>
          </w:tcPr>
          <w:p>
            <w:r>
              <w:rPr>
                <w:rFonts w:ascii="Arial" w:hAnsi="Arial"/>
                <w:sz w:val="13"/>
              </w:rPr>
              <w:t>Prompt perturbations and problem transformations changed success rates across LLMs, so robustness could not be inferred from one canonical prompt.</w:t>
            </w:r>
          </w:p>
        </w:tc>
        <w:tc>
          <w:tcPr>
            <w:tcW w:type="dxa" w:w="1726"/>
            <w:vAlign w:val="top"/>
            <w:tcMar>
              <w:top w:w="40" w:type="dxa"/>
              <w:left w:w="40" w:type="dxa"/>
              <w:bottom w:w="40" w:type="dxa"/>
              <w:right w:w="40" w:type="dxa"/>
            </w:tcMar>
          </w:tcPr>
          <w:p>
            <w:r>
              <w:rPr>
                <w:rFonts w:ascii="Arial" w:hAnsi="Arial"/>
                <w:sz w:val="13"/>
              </w:rPr>
              <w:t>Evaluated multiple perturbation types across programming problems; performance varied by transformation and model.</w:t>
            </w:r>
          </w:p>
        </w:tc>
        <w:tc>
          <w:tcPr>
            <w:tcW w:type="dxa" w:w="1726"/>
            <w:vAlign w:val="top"/>
            <w:tcMar>
              <w:top w:w="40" w:type="dxa"/>
              <w:left w:w="40" w:type="dxa"/>
              <w:bottom w:w="40" w:type="dxa"/>
              <w:right w:w="40" w:type="dxa"/>
            </w:tcMar>
          </w:tcPr>
          <w:p>
            <w:r>
              <w:rPr>
                <w:rFonts w:ascii="Arial" w:hAnsi="Arial"/>
                <w:sz w:val="13"/>
              </w:rPr>
              <w:t>Negative: robustness was transformation-dependent.</w:t>
            </w:r>
          </w:p>
        </w:tc>
        <w:tc>
          <w:tcPr>
            <w:tcW w:type="dxa" w:w="1726"/>
            <w:vAlign w:val="top"/>
            <w:tcMar>
              <w:top w:w="40" w:type="dxa"/>
              <w:left w:w="40" w:type="dxa"/>
              <w:bottom w:w="40" w:type="dxa"/>
              <w:right w:w="40" w:type="dxa"/>
            </w:tcMar>
          </w:tcPr>
          <w:p>
            <w:r>
              <w:rPr>
                <w:rFonts w:ascii="Arial" w:hAnsi="Arial"/>
                <w:sz w:val="13"/>
              </w:rPr>
              <w:t>Results/RQ analysis, pp. 6-11</w:t>
            </w:r>
          </w:p>
        </w:tc>
        <w:tc>
          <w:tcPr>
            <w:tcW w:type="dxa" w:w="1726"/>
            <w:vAlign w:val="top"/>
            <w:tcMar>
              <w:top w:w="40" w:type="dxa"/>
              <w:left w:w="40" w:type="dxa"/>
              <w:bottom w:w="40" w:type="dxa"/>
              <w:right w:w="40" w:type="dxa"/>
            </w:tcMar>
          </w:tcPr>
          <w:p>
            <w:r>
              <w:rPr>
                <w:rFonts w:ascii="Arial" w:hAnsi="Arial"/>
                <w:sz w:val="13"/>
              </w:rPr>
              <w:t>prompt sensitivity</w:t>
            </w:r>
          </w:p>
        </w:tc>
      </w:tr>
      <w:tr>
        <w:tc>
          <w:tcPr>
            <w:tcW w:type="dxa" w:w="1726"/>
            <w:vAlign w:val="top"/>
            <w:tcMar>
              <w:top w:w="40" w:type="dxa"/>
              <w:left w:w="40" w:type="dxa"/>
              <w:bottom w:w="40" w:type="dxa"/>
              <w:right w:w="40" w:type="dxa"/>
            </w:tcMar>
          </w:tcPr>
          <w:p>
            <w:r>
              <w:rPr>
                <w:rFonts w:ascii="Arial" w:hAnsi="Arial"/>
                <w:sz w:val="13"/>
              </w:rPr>
              <w:t>fang_evalooop_2025</w:t>
            </w:r>
          </w:p>
        </w:tc>
        <w:tc>
          <w:tcPr>
            <w:tcW w:type="dxa" w:w="1726"/>
            <w:vAlign w:val="top"/>
            <w:tcMar>
              <w:top w:w="40" w:type="dxa"/>
              <w:left w:w="40" w:type="dxa"/>
              <w:bottom w:w="40" w:type="dxa"/>
              <w:right w:w="40" w:type="dxa"/>
            </w:tcMar>
          </w:tcPr>
          <w:p>
            <w:r>
              <w:rPr>
                <w:rFonts w:ascii="Arial" w:hAnsi="Arial"/>
                <w:sz w:val="13"/>
              </w:rPr>
              <w:t>2025</w:t>
            </w:r>
          </w:p>
        </w:tc>
        <w:tc>
          <w:tcPr>
            <w:tcW w:type="dxa" w:w="1726"/>
            <w:vAlign w:val="top"/>
            <w:tcMar>
              <w:top w:w="40" w:type="dxa"/>
              <w:left w:w="40" w:type="dxa"/>
              <w:bottom w:w="40" w:type="dxa"/>
              <w:right w:w="40" w:type="dxa"/>
            </w:tcMar>
          </w:tcPr>
          <w:p>
            <w:r>
              <w:rPr>
                <w:rFonts w:ascii="Arial" w:hAnsi="Arial"/>
                <w:sz w:val="13"/>
              </w:rPr>
              <w:t>A1</w:t>
            </w:r>
          </w:p>
        </w:tc>
        <w:tc>
          <w:tcPr>
            <w:tcW w:type="dxa" w:w="1726"/>
            <w:vAlign w:val="top"/>
            <w:tcMar>
              <w:top w:w="40" w:type="dxa"/>
              <w:left w:w="40" w:type="dxa"/>
              <w:bottom w:w="40" w:type="dxa"/>
              <w:right w:w="40" w:type="dxa"/>
            </w:tcMar>
          </w:tcPr>
          <w:p>
            <w:r>
              <w:rPr>
                <w:rFonts w:ascii="Arial" w:hAnsi="Arial"/>
                <w:sz w:val="13"/>
              </w:rPr>
              <w:t>SUPPORTING</w:t>
            </w:r>
          </w:p>
        </w:tc>
        <w:tc>
          <w:tcPr>
            <w:tcW w:type="dxa" w:w="1726"/>
            <w:vAlign w:val="top"/>
            <w:tcMar>
              <w:top w:w="40" w:type="dxa"/>
              <w:left w:w="40" w:type="dxa"/>
              <w:bottom w:w="40" w:type="dxa"/>
              <w:right w:w="40" w:type="dxa"/>
            </w:tcMar>
          </w:tcPr>
          <w:p>
            <w:r>
              <w:rPr>
                <w:rFonts w:ascii="Arial" w:hAnsi="Arial"/>
                <w:sz w:val="13"/>
              </w:rPr>
              <w:t>Self-consistency analysis showed that robustness requires comparing multiple candidate outputs, not only top-1 correctness.</w:t>
            </w:r>
          </w:p>
        </w:tc>
        <w:tc>
          <w:tcPr>
            <w:tcW w:type="dxa" w:w="1726"/>
            <w:vAlign w:val="top"/>
            <w:tcMar>
              <w:top w:w="40" w:type="dxa"/>
              <w:left w:w="40" w:type="dxa"/>
              <w:bottom w:w="40" w:type="dxa"/>
              <w:right w:w="40" w:type="dxa"/>
            </w:tcMar>
          </w:tcPr>
          <w:p>
            <w:r>
              <w:rPr>
                <w:rFonts w:ascii="Arial" w:hAnsi="Arial"/>
                <w:sz w:val="13"/>
              </w:rPr>
              <w:t>EVALOOOP centres evaluation on self-consistency under repeated generations and programming-task variants.</w:t>
            </w:r>
          </w:p>
        </w:tc>
        <w:tc>
          <w:tcPr>
            <w:tcW w:type="dxa" w:w="1726"/>
            <w:vAlign w:val="top"/>
            <w:tcMar>
              <w:top w:w="40" w:type="dxa"/>
              <w:left w:w="40" w:type="dxa"/>
              <w:bottom w:w="40" w:type="dxa"/>
              <w:right w:w="40" w:type="dxa"/>
            </w:tcMar>
          </w:tcPr>
          <w:p>
            <w:r>
              <w:rPr>
                <w:rFonts w:ascii="Arial" w:hAnsi="Arial"/>
                <w:sz w:val="13"/>
              </w:rPr>
              <w:t>Negative/diagnostic: accuracy alone hides output instability.</w:t>
            </w:r>
          </w:p>
        </w:tc>
        <w:tc>
          <w:tcPr>
            <w:tcW w:type="dxa" w:w="1726"/>
            <w:vAlign w:val="top"/>
            <w:tcMar>
              <w:top w:w="40" w:type="dxa"/>
              <w:left w:w="40" w:type="dxa"/>
              <w:bottom w:w="40" w:type="dxa"/>
              <w:right w:w="40" w:type="dxa"/>
            </w:tcMar>
          </w:tcPr>
          <w:p>
            <w:r>
              <w:rPr>
                <w:rFonts w:ascii="Arial" w:hAnsi="Arial"/>
                <w:sz w:val="13"/>
              </w:rPr>
              <w:t>Framework and evaluation results, pp. 4-9</w:t>
            </w:r>
          </w:p>
        </w:tc>
        <w:tc>
          <w:tcPr>
            <w:tcW w:type="dxa" w:w="1726"/>
            <w:vAlign w:val="top"/>
            <w:tcMar>
              <w:top w:w="40" w:type="dxa"/>
              <w:left w:w="40" w:type="dxa"/>
              <w:bottom w:w="40" w:type="dxa"/>
              <w:right w:w="40" w:type="dxa"/>
            </w:tcMar>
          </w:tcPr>
          <w:p>
            <w:r>
              <w:rPr>
                <w:rFonts w:ascii="Arial" w:hAnsi="Arial"/>
                <w:sz w:val="13"/>
              </w:rPr>
              <w:t>output consistency</w:t>
            </w:r>
          </w:p>
        </w:tc>
      </w:tr>
      <w:tr>
        <w:tc>
          <w:tcPr>
            <w:tcW w:type="dxa" w:w="1726"/>
            <w:vAlign w:val="top"/>
            <w:tcMar>
              <w:top w:w="40" w:type="dxa"/>
              <w:left w:w="40" w:type="dxa"/>
              <w:bottom w:w="40" w:type="dxa"/>
              <w:right w:w="40" w:type="dxa"/>
            </w:tcMar>
          </w:tcPr>
          <w:p>
            <w:r>
              <w:rPr>
                <w:rFonts w:ascii="Arial" w:hAnsi="Arial"/>
                <w:sz w:val="13"/>
              </w:rPr>
              <w:t>min_beyond_2024</w:t>
            </w:r>
          </w:p>
        </w:tc>
        <w:tc>
          <w:tcPr>
            <w:tcW w:type="dxa" w:w="1726"/>
            <w:vAlign w:val="top"/>
            <w:tcMar>
              <w:top w:w="40" w:type="dxa"/>
              <w:left w:w="40" w:type="dxa"/>
              <w:bottom w:w="40" w:type="dxa"/>
              <w:right w:w="40" w:type="dxa"/>
            </w:tcMar>
          </w:tcPr>
          <w:p>
            <w:r>
              <w:rPr>
                <w:rFonts w:ascii="Arial" w:hAnsi="Arial"/>
                <w:sz w:val="13"/>
              </w:rPr>
              <w:t>2024</w:t>
            </w:r>
          </w:p>
        </w:tc>
        <w:tc>
          <w:tcPr>
            <w:tcW w:type="dxa" w:w="1726"/>
            <w:vAlign w:val="top"/>
            <w:tcMar>
              <w:top w:w="40" w:type="dxa"/>
              <w:left w:w="40" w:type="dxa"/>
              <w:bottom w:w="40" w:type="dxa"/>
              <w:right w:w="40" w:type="dxa"/>
            </w:tcMar>
          </w:tcPr>
          <w:p>
            <w:r>
              <w:rPr>
                <w:rFonts w:ascii="Arial" w:hAnsi="Arial"/>
                <w:sz w:val="13"/>
              </w:rPr>
              <w:t>A1</w:t>
            </w:r>
          </w:p>
        </w:tc>
        <w:tc>
          <w:tcPr>
            <w:tcW w:type="dxa" w:w="1726"/>
            <w:vAlign w:val="top"/>
            <w:tcMar>
              <w:top w:w="40" w:type="dxa"/>
              <w:left w:w="40" w:type="dxa"/>
              <w:bottom w:w="40" w:type="dxa"/>
              <w:right w:w="40" w:type="dxa"/>
            </w:tcMar>
          </w:tcPr>
          <w:p>
            <w:r>
              <w:rPr>
                <w:rFonts w:ascii="Arial" w:hAnsi="Arial"/>
                <w:sz w:val="13"/>
              </w:rPr>
              <w:t>SUPPORTING</w:t>
            </w:r>
          </w:p>
        </w:tc>
        <w:tc>
          <w:tcPr>
            <w:tcW w:type="dxa" w:w="1726"/>
            <w:vAlign w:val="top"/>
            <w:tcMar>
              <w:top w:w="40" w:type="dxa"/>
              <w:left w:w="40" w:type="dxa"/>
              <w:bottom w:w="40" w:type="dxa"/>
              <w:right w:w="40" w:type="dxa"/>
            </w:tcMar>
          </w:tcPr>
          <w:p>
            <w:r>
              <w:rPr>
                <w:rFonts w:ascii="Arial" w:hAnsi="Arial"/>
                <w:sz w:val="13"/>
              </w:rPr>
              <w:t>IdentityChain found that code LLMs may fail to preserve semantic identity when asked to regenerate code from their own generated specifications.</w:t>
            </w:r>
          </w:p>
        </w:tc>
        <w:tc>
          <w:tcPr>
            <w:tcW w:type="dxa" w:w="1726"/>
            <w:vAlign w:val="top"/>
            <w:tcMar>
              <w:top w:w="40" w:type="dxa"/>
              <w:left w:w="40" w:type="dxa"/>
              <w:bottom w:w="40" w:type="dxa"/>
              <w:right w:w="40" w:type="dxa"/>
            </w:tcMar>
          </w:tcPr>
          <w:p>
            <w:r>
              <w:rPr>
                <w:rFonts w:ascii="Arial" w:hAnsi="Arial"/>
                <w:sz w:val="13"/>
              </w:rPr>
              <w:t>Introduces Pass/Fail Match and TOM-score style self-consistency measures beyond Pass@K.</w:t>
            </w:r>
          </w:p>
        </w:tc>
        <w:tc>
          <w:tcPr>
            <w:tcW w:type="dxa" w:w="1726"/>
            <w:vAlign w:val="top"/>
            <w:tcMar>
              <w:top w:w="40" w:type="dxa"/>
              <w:left w:w="40" w:type="dxa"/>
              <w:bottom w:w="40" w:type="dxa"/>
              <w:right w:w="40" w:type="dxa"/>
            </w:tcMar>
          </w:tcPr>
          <w:p>
            <w:r>
              <w:rPr>
                <w:rFonts w:ascii="Arial" w:hAnsi="Arial"/>
                <w:sz w:val="13"/>
              </w:rPr>
              <w:t>Negative: a model can be accurate once yet self-inconsistent across chained tasks.</w:t>
            </w:r>
          </w:p>
        </w:tc>
        <w:tc>
          <w:tcPr>
            <w:tcW w:type="dxa" w:w="1726"/>
            <w:vAlign w:val="top"/>
            <w:tcMar>
              <w:top w:w="40" w:type="dxa"/>
              <w:left w:w="40" w:type="dxa"/>
              <w:bottom w:w="40" w:type="dxa"/>
              <w:right w:w="40" w:type="dxa"/>
            </w:tcMar>
          </w:tcPr>
          <w:p>
            <w:r>
              <w:rPr>
                <w:rFonts w:ascii="Arial" w:hAnsi="Arial"/>
                <w:sz w:val="13"/>
              </w:rPr>
              <w:t>Evaluation and conclusion, pp. 5-10</w:t>
            </w:r>
          </w:p>
        </w:tc>
        <w:tc>
          <w:tcPr>
            <w:tcW w:type="dxa" w:w="1726"/>
            <w:vAlign w:val="top"/>
            <w:tcMar>
              <w:top w:w="40" w:type="dxa"/>
              <w:left w:w="40" w:type="dxa"/>
              <w:bottom w:w="40" w:type="dxa"/>
              <w:right w:w="40" w:type="dxa"/>
            </w:tcMar>
          </w:tcPr>
          <w:p>
            <w:r>
              <w:rPr>
                <w:rFonts w:ascii="Arial" w:hAnsi="Arial"/>
                <w:sz w:val="13"/>
              </w:rPr>
              <w:t>output consistency</w:t>
            </w:r>
          </w:p>
        </w:tc>
      </w:tr>
      <w:tr>
        <w:tc>
          <w:tcPr>
            <w:tcW w:type="dxa" w:w="1726"/>
            <w:vAlign w:val="top"/>
            <w:tcMar>
              <w:top w:w="40" w:type="dxa"/>
              <w:left w:w="40" w:type="dxa"/>
              <w:bottom w:w="40" w:type="dxa"/>
              <w:right w:w="40" w:type="dxa"/>
            </w:tcMar>
          </w:tcPr>
          <w:p>
            <w:r>
              <w:rPr>
                <w:rFonts w:ascii="Arial" w:hAnsi="Arial"/>
                <w:sz w:val="13"/>
              </w:rPr>
              <w:t>zhong_impossiblebench_2025</w:t>
            </w:r>
          </w:p>
        </w:tc>
        <w:tc>
          <w:tcPr>
            <w:tcW w:type="dxa" w:w="1726"/>
            <w:vAlign w:val="top"/>
            <w:tcMar>
              <w:top w:w="40" w:type="dxa"/>
              <w:left w:w="40" w:type="dxa"/>
              <w:bottom w:w="40" w:type="dxa"/>
              <w:right w:w="40" w:type="dxa"/>
            </w:tcMar>
          </w:tcPr>
          <w:p>
            <w:r>
              <w:rPr>
                <w:rFonts w:ascii="Arial" w:hAnsi="Arial"/>
                <w:sz w:val="13"/>
              </w:rPr>
              <w:t>2025</w:t>
            </w:r>
          </w:p>
        </w:tc>
        <w:tc>
          <w:tcPr>
            <w:tcW w:type="dxa" w:w="1726"/>
            <w:vAlign w:val="top"/>
            <w:tcMar>
              <w:top w:w="40" w:type="dxa"/>
              <w:left w:w="40" w:type="dxa"/>
              <w:bottom w:w="40" w:type="dxa"/>
              <w:right w:w="40" w:type="dxa"/>
            </w:tcMar>
          </w:tcPr>
          <w:p>
            <w:r>
              <w:rPr>
                <w:rFonts w:ascii="Arial" w:hAnsi="Arial"/>
                <w:sz w:val="13"/>
              </w:rPr>
              <w:t>A1</w:t>
            </w:r>
          </w:p>
        </w:tc>
        <w:tc>
          <w:tcPr>
            <w:tcW w:type="dxa" w:w="1726"/>
            <w:vAlign w:val="top"/>
            <w:tcMar>
              <w:top w:w="40" w:type="dxa"/>
              <w:left w:w="40" w:type="dxa"/>
              <w:bottom w:w="40" w:type="dxa"/>
              <w:right w:w="40" w:type="dxa"/>
            </w:tcMar>
          </w:tcPr>
          <w:p>
            <w:r>
              <w:rPr>
                <w:rFonts w:ascii="Arial" w:hAnsi="Arial"/>
                <w:sz w:val="13"/>
              </w:rPr>
              <w:t>SUPPORTING</w:t>
            </w:r>
          </w:p>
        </w:tc>
        <w:tc>
          <w:tcPr>
            <w:tcW w:type="dxa" w:w="1726"/>
            <w:vAlign w:val="top"/>
            <w:tcMar>
              <w:top w:w="40" w:type="dxa"/>
              <w:left w:w="40" w:type="dxa"/>
              <w:bottom w:w="40" w:type="dxa"/>
              <w:right w:w="40" w:type="dxa"/>
            </w:tcMar>
          </w:tcPr>
          <w:p>
            <w:r>
              <w:rPr>
                <w:rFonts w:ascii="Arial" w:hAnsi="Arial"/>
                <w:sz w:val="13"/>
              </w:rPr>
              <w:t>ImpossibleBench showed that agent success can reflect exploiting tests rather than solving tasks; prompt and feedback design changed cheating propensity.</w:t>
            </w:r>
          </w:p>
        </w:tc>
        <w:tc>
          <w:tcPr>
            <w:tcW w:type="dxa" w:w="1726"/>
            <w:vAlign w:val="top"/>
            <w:tcMar>
              <w:top w:w="40" w:type="dxa"/>
              <w:left w:w="40" w:type="dxa"/>
              <w:bottom w:w="40" w:type="dxa"/>
              <w:right w:w="40" w:type="dxa"/>
            </w:tcMar>
          </w:tcPr>
          <w:p>
            <w:r>
              <w:rPr>
                <w:rFonts w:ascii="Arial" w:hAnsi="Arial"/>
                <w:sz w:val="13"/>
              </w:rPr>
              <w:t>Cheating rates measured on impossible variants; mitigation prompts reduced cheating but also reduced ordinary benchmark performance.</w:t>
            </w:r>
          </w:p>
        </w:tc>
        <w:tc>
          <w:tcPr>
            <w:tcW w:type="dxa" w:w="1726"/>
            <w:vAlign w:val="top"/>
            <w:tcMar>
              <w:top w:w="40" w:type="dxa"/>
              <w:left w:w="40" w:type="dxa"/>
              <w:bottom w:w="40" w:type="dxa"/>
              <w:right w:w="40" w:type="dxa"/>
            </w:tcMar>
          </w:tcPr>
          <w:p>
            <w:r>
              <w:rPr>
                <w:rFonts w:ascii="Arial" w:hAnsi="Arial"/>
                <w:sz w:val="13"/>
              </w:rPr>
              <w:t>Negative/conditional: apparent success may be unreliable under exploitable tests.</w:t>
            </w:r>
          </w:p>
        </w:tc>
        <w:tc>
          <w:tcPr>
            <w:tcW w:type="dxa" w:w="1726"/>
            <w:vAlign w:val="top"/>
            <w:tcMar>
              <w:top w:w="40" w:type="dxa"/>
              <w:left w:w="40" w:type="dxa"/>
              <w:bottom w:w="40" w:type="dxa"/>
              <w:right w:w="40" w:type="dxa"/>
            </w:tcMar>
          </w:tcPr>
          <w:p>
            <w:r>
              <w:rPr>
                <w:rFonts w:ascii="Arial" w:hAnsi="Arial"/>
                <w:sz w:val="13"/>
              </w:rPr>
              <w:t>Experiment setup/results/discussion, pp. 4-9</w:t>
            </w:r>
          </w:p>
        </w:tc>
        <w:tc>
          <w:tcPr>
            <w:tcW w:type="dxa" w:w="1726"/>
            <w:vAlign w:val="top"/>
            <w:tcMar>
              <w:top w:w="40" w:type="dxa"/>
              <w:left w:w="40" w:type="dxa"/>
              <w:bottom w:w="40" w:type="dxa"/>
              <w:right w:w="40" w:type="dxa"/>
            </w:tcMar>
          </w:tcPr>
          <w:p>
            <w:r>
              <w:rPr>
                <w:rFonts w:ascii="Arial" w:hAnsi="Arial"/>
                <w:sz w:val="13"/>
              </w:rPr>
              <w:t>evaluation validity</w:t>
            </w:r>
          </w:p>
        </w:tc>
      </w:tr>
      <w:tr>
        <w:tc>
          <w:tcPr>
            <w:tcW w:type="dxa" w:w="1726"/>
            <w:vAlign w:val="top"/>
            <w:tcMar>
              <w:top w:w="40" w:type="dxa"/>
              <w:left w:w="40" w:type="dxa"/>
              <w:bottom w:w="40" w:type="dxa"/>
              <w:right w:w="40" w:type="dxa"/>
            </w:tcMar>
          </w:tcPr>
          <w:p>
            <w:r>
              <w:rPr>
                <w:rFonts w:ascii="Arial" w:hAnsi="Arial"/>
                <w:sz w:val="13"/>
              </w:rPr>
              <w:t>chen_featbench_2026</w:t>
            </w:r>
          </w:p>
        </w:tc>
        <w:tc>
          <w:tcPr>
            <w:tcW w:type="dxa" w:w="1726"/>
            <w:vAlign w:val="top"/>
            <w:tcMar>
              <w:top w:w="40" w:type="dxa"/>
              <w:left w:w="40" w:type="dxa"/>
              <w:bottom w:w="40" w:type="dxa"/>
              <w:right w:w="40" w:type="dxa"/>
            </w:tcMar>
          </w:tcPr>
          <w:p>
            <w:r>
              <w:rPr>
                <w:rFonts w:ascii="Arial" w:hAnsi="Arial"/>
                <w:sz w:val="13"/>
              </w:rPr>
              <w:t>2026</w:t>
            </w:r>
          </w:p>
        </w:tc>
        <w:tc>
          <w:tcPr>
            <w:tcW w:type="dxa" w:w="1726"/>
            <w:vAlign w:val="top"/>
            <w:tcMar>
              <w:top w:w="40" w:type="dxa"/>
              <w:left w:w="40" w:type="dxa"/>
              <w:bottom w:w="40" w:type="dxa"/>
              <w:right w:w="40" w:type="dxa"/>
            </w:tcMar>
          </w:tcPr>
          <w:p>
            <w:r>
              <w:rPr>
                <w:rFonts w:ascii="Arial" w:hAnsi="Arial"/>
                <w:sz w:val="13"/>
              </w:rPr>
              <w:t>A1</w:t>
            </w:r>
          </w:p>
        </w:tc>
        <w:tc>
          <w:tcPr>
            <w:tcW w:type="dxa" w:w="1726"/>
            <w:vAlign w:val="top"/>
            <w:tcMar>
              <w:top w:w="40" w:type="dxa"/>
              <w:left w:w="40" w:type="dxa"/>
              <w:bottom w:w="40" w:type="dxa"/>
              <w:right w:w="40" w:type="dxa"/>
            </w:tcMar>
          </w:tcPr>
          <w:p>
            <w:r>
              <w:rPr>
                <w:rFonts w:ascii="Arial" w:hAnsi="Arial"/>
                <w:sz w:val="13"/>
              </w:rPr>
              <w:t>SUPPORTING</w:t>
            </w:r>
          </w:p>
        </w:tc>
        <w:tc>
          <w:tcPr>
            <w:tcW w:type="dxa" w:w="1726"/>
            <w:vAlign w:val="top"/>
            <w:tcMar>
              <w:top w:w="40" w:type="dxa"/>
              <w:left w:w="40" w:type="dxa"/>
              <w:bottom w:w="40" w:type="dxa"/>
              <w:right w:w="40" w:type="dxa"/>
            </w:tcMar>
          </w:tcPr>
          <w:p>
            <w:r>
              <w:rPr>
                <w:rFonts w:ascii="Arial" w:hAnsi="Arial"/>
                <w:sz w:val="13"/>
              </w:rPr>
              <w:t>FeatBench reported low resolved rates on realistic feature-level tasks and identified aggressive implementation as a recurring reliability failure mode.</w:t>
            </w:r>
          </w:p>
        </w:tc>
        <w:tc>
          <w:tcPr>
            <w:tcW w:type="dxa" w:w="1726"/>
            <w:vAlign w:val="top"/>
            <w:tcMar>
              <w:top w:w="40" w:type="dxa"/>
              <w:left w:w="40" w:type="dxa"/>
              <w:bottom w:w="40" w:type="dxa"/>
              <w:right w:w="40" w:type="dxa"/>
            </w:tcMar>
          </w:tcPr>
          <w:p>
            <w:r>
              <w:rPr>
                <w:rFonts w:ascii="Arial" w:hAnsi="Arial"/>
                <w:sz w:val="13"/>
              </w:rPr>
              <w:t>Highest resolved rate 29.94% for top agent configuration.</w:t>
            </w:r>
          </w:p>
        </w:tc>
        <w:tc>
          <w:tcPr>
            <w:tcW w:type="dxa" w:w="1726"/>
            <w:vAlign w:val="top"/>
            <w:tcMar>
              <w:top w:w="40" w:type="dxa"/>
              <w:left w:w="40" w:type="dxa"/>
              <w:bottom w:w="40" w:type="dxa"/>
              <w:right w:w="40" w:type="dxa"/>
            </w:tcMar>
          </w:tcPr>
          <w:p>
            <w:r>
              <w:rPr>
                <w:rFonts w:ascii="Arial" w:hAnsi="Arial"/>
                <w:sz w:val="13"/>
              </w:rPr>
              <w:t>Negative: end-to-end feature implementation remains brittle.</w:t>
            </w:r>
          </w:p>
        </w:tc>
        <w:tc>
          <w:tcPr>
            <w:tcW w:type="dxa" w:w="1726"/>
            <w:vAlign w:val="top"/>
            <w:tcMar>
              <w:top w:w="40" w:type="dxa"/>
              <w:left w:w="40" w:type="dxa"/>
              <w:bottom w:w="40" w:type="dxa"/>
              <w:right w:w="40" w:type="dxa"/>
            </w:tcMar>
          </w:tcPr>
          <w:p>
            <w:r>
              <w:rPr>
                <w:rFonts w:ascii="Arial" w:hAnsi="Arial"/>
                <w:sz w:val="13"/>
              </w:rPr>
              <w:t>Results and discussion, pp. 7-13</w:t>
            </w:r>
          </w:p>
        </w:tc>
        <w:tc>
          <w:tcPr>
            <w:tcW w:type="dxa" w:w="1726"/>
            <w:vAlign w:val="top"/>
            <w:tcMar>
              <w:top w:w="40" w:type="dxa"/>
              <w:left w:w="40" w:type="dxa"/>
              <w:bottom w:w="40" w:type="dxa"/>
              <w:right w:w="40" w:type="dxa"/>
            </w:tcMar>
          </w:tcPr>
          <w:p>
            <w:r>
              <w:rPr>
                <w:rFonts w:ascii="Arial" w:hAnsi="Arial"/>
                <w:sz w:val="13"/>
              </w:rPr>
              <w:t>agentic reliability</w:t>
            </w:r>
          </w:p>
        </w:tc>
      </w:tr>
      <w:tr>
        <w:tc>
          <w:tcPr>
            <w:tcW w:type="dxa" w:w="1726"/>
            <w:vAlign w:val="top"/>
            <w:tcMar>
              <w:top w:w="40" w:type="dxa"/>
              <w:left w:w="40" w:type="dxa"/>
              <w:bottom w:w="40" w:type="dxa"/>
              <w:right w:w="40" w:type="dxa"/>
            </w:tcMar>
          </w:tcPr>
          <w:p>
            <w:r>
              <w:rPr>
                <w:rFonts w:ascii="Arial" w:hAnsi="Arial"/>
                <w:sz w:val="13"/>
              </w:rPr>
              <w:t>yang_codeclash_2026</w:t>
            </w:r>
          </w:p>
        </w:tc>
        <w:tc>
          <w:tcPr>
            <w:tcW w:type="dxa" w:w="1726"/>
            <w:vAlign w:val="top"/>
            <w:tcMar>
              <w:top w:w="40" w:type="dxa"/>
              <w:left w:w="40" w:type="dxa"/>
              <w:bottom w:w="40" w:type="dxa"/>
              <w:right w:w="40" w:type="dxa"/>
            </w:tcMar>
          </w:tcPr>
          <w:p>
            <w:r>
              <w:rPr>
                <w:rFonts w:ascii="Arial" w:hAnsi="Arial"/>
                <w:sz w:val="13"/>
              </w:rPr>
              <w:t>2026</w:t>
            </w:r>
          </w:p>
        </w:tc>
        <w:tc>
          <w:tcPr>
            <w:tcW w:type="dxa" w:w="1726"/>
            <w:vAlign w:val="top"/>
            <w:tcMar>
              <w:top w:w="40" w:type="dxa"/>
              <w:left w:w="40" w:type="dxa"/>
              <w:bottom w:w="40" w:type="dxa"/>
              <w:right w:w="40" w:type="dxa"/>
            </w:tcMar>
          </w:tcPr>
          <w:p>
            <w:r>
              <w:rPr>
                <w:rFonts w:ascii="Arial" w:hAnsi="Arial"/>
                <w:sz w:val="13"/>
              </w:rPr>
              <w:t>A2</w:t>
            </w:r>
          </w:p>
        </w:tc>
        <w:tc>
          <w:tcPr>
            <w:tcW w:type="dxa" w:w="1726"/>
            <w:vAlign w:val="top"/>
            <w:tcMar>
              <w:top w:w="40" w:type="dxa"/>
              <w:left w:w="40" w:type="dxa"/>
              <w:bottom w:w="40" w:type="dxa"/>
              <w:right w:w="40" w:type="dxa"/>
            </w:tcMar>
          </w:tcPr>
          <w:p>
            <w:r>
              <w:rPr>
                <w:rFonts w:ascii="Arial" w:hAnsi="Arial"/>
                <w:sz w:val="13"/>
              </w:rPr>
              <w:t>SUPPORTING</w:t>
            </w:r>
          </w:p>
        </w:tc>
        <w:tc>
          <w:tcPr>
            <w:tcW w:type="dxa" w:w="1726"/>
            <w:vAlign w:val="top"/>
            <w:tcMar>
              <w:top w:w="40" w:type="dxa"/>
              <w:left w:w="40" w:type="dxa"/>
              <w:bottom w:w="40" w:type="dxa"/>
              <w:right w:w="40" w:type="dxa"/>
            </w:tcMar>
          </w:tcPr>
          <w:p>
            <w:r>
              <w:rPr>
                <w:rFonts w:ascii="Arial" w:hAnsi="Arial"/>
                <w:sz w:val="13"/>
              </w:rPr>
              <w:t>CodeClash found that goal-oriented software agents still suffer strategic and feedback-interpretation failures in competitive multi-agent environments.</w:t>
            </w:r>
          </w:p>
        </w:tc>
        <w:tc>
          <w:tcPr>
            <w:tcW w:type="dxa" w:w="1726"/>
            <w:vAlign w:val="top"/>
            <w:tcMar>
              <w:top w:w="40" w:type="dxa"/>
              <w:left w:w="40" w:type="dxa"/>
              <w:bottom w:w="40" w:type="dxa"/>
              <w:right w:w="40" w:type="dxa"/>
            </w:tcMar>
          </w:tcPr>
          <w:p>
            <w:r>
              <w:rPr>
                <w:rFonts w:ascii="Arial" w:hAnsi="Arial"/>
                <w:sz w:val="13"/>
              </w:rPr>
              <w:t>Six arenas; analyses include success rates, edit budgets, recovery patterns, and robustness checks.</w:t>
            </w:r>
          </w:p>
        </w:tc>
        <w:tc>
          <w:tcPr>
            <w:tcW w:type="dxa" w:w="1726"/>
            <w:vAlign w:val="top"/>
            <w:tcMar>
              <w:top w:w="40" w:type="dxa"/>
              <w:left w:w="40" w:type="dxa"/>
              <w:bottom w:w="40" w:type="dxa"/>
              <w:right w:w="40" w:type="dxa"/>
            </w:tcMar>
          </w:tcPr>
          <w:p>
            <w:r>
              <w:rPr>
                <w:rFonts w:ascii="Arial" w:hAnsi="Arial"/>
                <w:sz w:val="13"/>
              </w:rPr>
              <w:t>Negative/nuanced: interface competence improves but goal pursuit remains fragile.</w:t>
            </w:r>
          </w:p>
        </w:tc>
        <w:tc>
          <w:tcPr>
            <w:tcW w:type="dxa" w:w="1726"/>
            <w:vAlign w:val="top"/>
            <w:tcMar>
              <w:top w:w="40" w:type="dxa"/>
              <w:left w:w="40" w:type="dxa"/>
              <w:bottom w:w="40" w:type="dxa"/>
              <w:right w:w="40" w:type="dxa"/>
            </w:tcMar>
          </w:tcPr>
          <w:p>
            <w:r>
              <w:rPr>
                <w:rFonts w:ascii="Arial" w:hAnsi="Arial"/>
                <w:sz w:val="13"/>
              </w:rPr>
              <w:t>Results and robustness discussion, pp. 5-14</w:t>
            </w:r>
          </w:p>
        </w:tc>
        <w:tc>
          <w:tcPr>
            <w:tcW w:type="dxa" w:w="1726"/>
            <w:vAlign w:val="top"/>
            <w:tcMar>
              <w:top w:w="40" w:type="dxa"/>
              <w:left w:w="40" w:type="dxa"/>
              <w:bottom w:w="40" w:type="dxa"/>
              <w:right w:w="40" w:type="dxa"/>
            </w:tcMar>
          </w:tcPr>
          <w:p>
            <w:r>
              <w:rPr>
                <w:rFonts w:ascii="Arial" w:hAnsi="Arial"/>
                <w:sz w:val="13"/>
              </w:rPr>
              <w:t>agentic reliability</w:t>
            </w:r>
          </w:p>
        </w:tc>
      </w:tr>
      <w:tr>
        <w:tc>
          <w:tcPr>
            <w:tcW w:type="dxa" w:w="1726"/>
            <w:vAlign w:val="top"/>
            <w:tcMar>
              <w:top w:w="40" w:type="dxa"/>
              <w:left w:w="40" w:type="dxa"/>
              <w:bottom w:w="40" w:type="dxa"/>
              <w:right w:w="40" w:type="dxa"/>
            </w:tcMar>
          </w:tcPr>
          <w:p>
            <w:r>
              <w:rPr>
                <w:rFonts w:ascii="Arial" w:hAnsi="Arial"/>
                <w:sz w:val="13"/>
              </w:rPr>
              <w:t>qiu_locobench_2025</w:t>
            </w:r>
          </w:p>
        </w:tc>
        <w:tc>
          <w:tcPr>
            <w:tcW w:type="dxa" w:w="1726"/>
            <w:vAlign w:val="top"/>
            <w:tcMar>
              <w:top w:w="40" w:type="dxa"/>
              <w:left w:w="40" w:type="dxa"/>
              <w:bottom w:w="40" w:type="dxa"/>
              <w:right w:w="40" w:type="dxa"/>
            </w:tcMar>
          </w:tcPr>
          <w:p>
            <w:r>
              <w:rPr>
                <w:rFonts w:ascii="Arial" w:hAnsi="Arial"/>
                <w:sz w:val="13"/>
              </w:rPr>
              <w:t>2025</w:t>
            </w:r>
          </w:p>
        </w:tc>
        <w:tc>
          <w:tcPr>
            <w:tcW w:type="dxa" w:w="1726"/>
            <w:vAlign w:val="top"/>
            <w:tcMar>
              <w:top w:w="40" w:type="dxa"/>
              <w:left w:w="40" w:type="dxa"/>
              <w:bottom w:w="40" w:type="dxa"/>
              <w:right w:w="40" w:type="dxa"/>
            </w:tcMar>
          </w:tcPr>
          <w:p>
            <w:r>
              <w:rPr>
                <w:rFonts w:ascii="Arial" w:hAnsi="Arial"/>
                <w:sz w:val="13"/>
              </w:rPr>
              <w:t>A2</w:t>
            </w:r>
          </w:p>
        </w:tc>
        <w:tc>
          <w:tcPr>
            <w:tcW w:type="dxa" w:w="1726"/>
            <w:vAlign w:val="top"/>
            <w:tcMar>
              <w:top w:w="40" w:type="dxa"/>
              <w:left w:w="40" w:type="dxa"/>
              <w:bottom w:w="40" w:type="dxa"/>
              <w:right w:w="40" w:type="dxa"/>
            </w:tcMar>
          </w:tcPr>
          <w:p>
            <w:r>
              <w:rPr>
                <w:rFonts w:ascii="Arial" w:hAnsi="Arial"/>
                <w:sz w:val="13"/>
              </w:rPr>
              <w:t>SUPPORTING</w:t>
            </w:r>
          </w:p>
        </w:tc>
        <w:tc>
          <w:tcPr>
            <w:tcW w:type="dxa" w:w="1726"/>
            <w:vAlign w:val="top"/>
            <w:tcMar>
              <w:top w:w="40" w:type="dxa"/>
              <w:left w:w="40" w:type="dxa"/>
              <w:bottom w:w="40" w:type="dxa"/>
              <w:right w:w="40" w:type="dxa"/>
            </w:tcMar>
          </w:tcPr>
          <w:p>
            <w:r>
              <w:rPr>
                <w:rFonts w:ascii="Arial" w:hAnsi="Arial"/>
                <w:sz w:val="13"/>
              </w:rPr>
              <w:t>LoCoBench framed long-context software engineering as an unresolved reliability problem involving dependencies, multi-file context, and session memory.</w:t>
            </w:r>
          </w:p>
        </w:tc>
        <w:tc>
          <w:tcPr>
            <w:tcW w:type="dxa" w:w="1726"/>
            <w:vAlign w:val="top"/>
            <w:tcMar>
              <w:top w:w="40" w:type="dxa"/>
              <w:left w:w="40" w:type="dxa"/>
              <w:bottom w:w="40" w:type="dxa"/>
              <w:right w:w="40" w:type="dxa"/>
            </w:tcMar>
          </w:tcPr>
          <w:p>
            <w:r>
              <w:rPr>
                <w:rFonts w:ascii="Arial" w:hAnsi="Arial"/>
                <w:sz w:val="13"/>
              </w:rPr>
              <w:t>8,000 scenarios across eight long-context task categories; LCBS combines several capability dimensions.</w:t>
            </w:r>
          </w:p>
        </w:tc>
        <w:tc>
          <w:tcPr>
            <w:tcW w:type="dxa" w:w="1726"/>
            <w:vAlign w:val="top"/>
            <w:tcMar>
              <w:top w:w="40" w:type="dxa"/>
              <w:left w:w="40" w:type="dxa"/>
              <w:bottom w:w="40" w:type="dxa"/>
              <w:right w:w="40" w:type="dxa"/>
            </w:tcMar>
          </w:tcPr>
          <w:p>
            <w:r>
              <w:rPr>
                <w:rFonts w:ascii="Arial" w:hAnsi="Arial"/>
                <w:sz w:val="13"/>
              </w:rPr>
              <w:t>Negative: long-context reliability remains weak in complex codebases.</w:t>
            </w:r>
          </w:p>
        </w:tc>
        <w:tc>
          <w:tcPr>
            <w:tcW w:type="dxa" w:w="1726"/>
            <w:vAlign w:val="top"/>
            <w:tcMar>
              <w:top w:w="40" w:type="dxa"/>
              <w:left w:w="40" w:type="dxa"/>
              <w:bottom w:w="40" w:type="dxa"/>
              <w:right w:w="40" w:type="dxa"/>
            </w:tcMar>
          </w:tcPr>
          <w:p>
            <w:r>
              <w:rPr>
                <w:rFonts w:ascii="Arial" w:hAnsi="Arial"/>
                <w:sz w:val="13"/>
              </w:rPr>
              <w:t>Benchmark design/results, pp. 4-9</w:t>
            </w:r>
          </w:p>
        </w:tc>
        <w:tc>
          <w:tcPr>
            <w:tcW w:type="dxa" w:w="1726"/>
            <w:vAlign w:val="top"/>
            <w:tcMar>
              <w:top w:w="40" w:type="dxa"/>
              <w:left w:w="40" w:type="dxa"/>
              <w:bottom w:w="40" w:type="dxa"/>
              <w:right w:w="40" w:type="dxa"/>
            </w:tcMar>
          </w:tcPr>
          <w:p>
            <w:r>
              <w:rPr>
                <w:rFonts w:ascii="Arial" w:hAnsi="Arial"/>
                <w:sz w:val="13"/>
              </w:rPr>
              <w:t>benchmark realism</w:t>
            </w:r>
          </w:p>
        </w:tc>
      </w:tr>
      <w:tr>
        <w:tc>
          <w:tcPr>
            <w:tcW w:type="dxa" w:w="1726"/>
            <w:vAlign w:val="top"/>
            <w:tcMar>
              <w:top w:w="40" w:type="dxa"/>
              <w:left w:w="40" w:type="dxa"/>
              <w:bottom w:w="40" w:type="dxa"/>
              <w:right w:w="40" w:type="dxa"/>
            </w:tcMar>
          </w:tcPr>
          <w:p>
            <w:r>
              <w:rPr>
                <w:rFonts w:ascii="Arial" w:hAnsi="Arial"/>
                <w:sz w:val="13"/>
              </w:rPr>
              <w:t>jiang_simcopilot_2025</w:t>
            </w:r>
          </w:p>
        </w:tc>
        <w:tc>
          <w:tcPr>
            <w:tcW w:type="dxa" w:w="1726"/>
            <w:vAlign w:val="top"/>
            <w:tcMar>
              <w:top w:w="40" w:type="dxa"/>
              <w:left w:w="40" w:type="dxa"/>
              <w:bottom w:w="40" w:type="dxa"/>
              <w:right w:w="40" w:type="dxa"/>
            </w:tcMar>
          </w:tcPr>
          <w:p>
            <w:r>
              <w:rPr>
                <w:rFonts w:ascii="Arial" w:hAnsi="Arial"/>
                <w:sz w:val="13"/>
              </w:rPr>
              <w:t>2025</w:t>
            </w:r>
          </w:p>
        </w:tc>
        <w:tc>
          <w:tcPr>
            <w:tcW w:type="dxa" w:w="1726"/>
            <w:vAlign w:val="top"/>
            <w:tcMar>
              <w:top w:w="40" w:type="dxa"/>
              <w:left w:w="40" w:type="dxa"/>
              <w:bottom w:w="40" w:type="dxa"/>
              <w:right w:w="40" w:type="dxa"/>
            </w:tcMar>
          </w:tcPr>
          <w:p>
            <w:r>
              <w:rPr>
                <w:rFonts w:ascii="Arial" w:hAnsi="Arial"/>
                <w:sz w:val="13"/>
              </w:rPr>
              <w:t>A1</w:t>
            </w:r>
          </w:p>
        </w:tc>
        <w:tc>
          <w:tcPr>
            <w:tcW w:type="dxa" w:w="1726"/>
            <w:vAlign w:val="top"/>
            <w:tcMar>
              <w:top w:w="40" w:type="dxa"/>
              <w:left w:w="40" w:type="dxa"/>
              <w:bottom w:w="40" w:type="dxa"/>
              <w:right w:w="40" w:type="dxa"/>
            </w:tcMar>
          </w:tcPr>
          <w:p>
            <w:r>
              <w:rPr>
                <w:rFonts w:ascii="Arial" w:hAnsi="Arial"/>
                <w:sz w:val="13"/>
              </w:rPr>
              <w:t>SUPPORTING</w:t>
            </w:r>
          </w:p>
        </w:tc>
        <w:tc>
          <w:tcPr>
            <w:tcW w:type="dxa" w:w="1726"/>
            <w:vAlign w:val="top"/>
            <w:tcMar>
              <w:top w:w="40" w:type="dxa"/>
              <w:left w:w="40" w:type="dxa"/>
              <w:bottom w:w="40" w:type="dxa"/>
              <w:right w:w="40" w:type="dxa"/>
            </w:tcMar>
          </w:tcPr>
          <w:p>
            <w:r>
              <w:rPr>
                <w:rFonts w:ascii="Arial" w:hAnsi="Arial"/>
                <w:sz w:val="13"/>
              </w:rPr>
              <w:t>SIMCOPILOT showed that simulated copilot-style evaluation exposes differences between models that standard standalone benchmarks compress or miss.</w:t>
            </w:r>
          </w:p>
        </w:tc>
        <w:tc>
          <w:tcPr>
            <w:tcW w:type="dxa" w:w="1726"/>
            <w:vAlign w:val="top"/>
            <w:tcMar>
              <w:top w:w="40" w:type="dxa"/>
              <w:left w:w="40" w:type="dxa"/>
              <w:bottom w:w="40" w:type="dxa"/>
              <w:right w:w="40" w:type="dxa"/>
            </w:tcMar>
          </w:tcPr>
          <w:p>
            <w:r>
              <w:rPr>
                <w:rFonts w:ascii="Arial" w:hAnsi="Arial"/>
                <w:sz w:val="13"/>
              </w:rPr>
              <w:t>Class tasks 41-55% accuracy versus function tasks 60-74%; infilling success 59.1-69.5%.</w:t>
            </w:r>
          </w:p>
        </w:tc>
        <w:tc>
          <w:tcPr>
            <w:tcW w:type="dxa" w:w="1726"/>
            <w:vAlign w:val="top"/>
            <w:tcMar>
              <w:top w:w="40" w:type="dxa"/>
              <w:left w:w="40" w:type="dxa"/>
              <w:bottom w:w="40" w:type="dxa"/>
              <w:right w:w="40" w:type="dxa"/>
            </w:tcMar>
          </w:tcPr>
          <w:p>
            <w:r>
              <w:rPr>
                <w:rFonts w:ascii="Arial" w:hAnsi="Arial"/>
                <w:sz w:val="13"/>
              </w:rPr>
              <w:t>Nuanced: reliability depends on interaction style and code context.</w:t>
            </w:r>
          </w:p>
        </w:tc>
        <w:tc>
          <w:tcPr>
            <w:tcW w:type="dxa" w:w="1726"/>
            <w:vAlign w:val="top"/>
            <w:tcMar>
              <w:top w:w="40" w:type="dxa"/>
              <w:left w:w="40" w:type="dxa"/>
              <w:bottom w:w="40" w:type="dxa"/>
              <w:right w:w="40" w:type="dxa"/>
            </w:tcMar>
          </w:tcPr>
          <w:p>
            <w:r>
              <w:rPr>
                <w:rFonts w:ascii="Arial" w:hAnsi="Arial"/>
                <w:sz w:val="13"/>
              </w:rPr>
              <w:t>Evaluation/results, pp. 5-10</w:t>
            </w:r>
          </w:p>
        </w:tc>
        <w:tc>
          <w:tcPr>
            <w:tcW w:type="dxa" w:w="1726"/>
            <w:vAlign w:val="top"/>
            <w:tcMar>
              <w:top w:w="40" w:type="dxa"/>
              <w:left w:w="40" w:type="dxa"/>
              <w:bottom w:w="40" w:type="dxa"/>
              <w:right w:w="40" w:type="dxa"/>
            </w:tcMar>
          </w:tcPr>
          <w:p>
            <w:r>
              <w:rPr>
                <w:rFonts w:ascii="Arial" w:hAnsi="Arial"/>
                <w:sz w:val="13"/>
              </w:rPr>
              <w:t>benchmark realism</w:t>
            </w:r>
          </w:p>
        </w:tc>
      </w:tr>
      <w:tr>
        <w:tc>
          <w:tcPr>
            <w:tcW w:type="dxa" w:w="1726"/>
            <w:vAlign w:val="top"/>
            <w:tcMar>
              <w:top w:w="40" w:type="dxa"/>
              <w:left w:w="40" w:type="dxa"/>
              <w:bottom w:w="40" w:type="dxa"/>
              <w:right w:w="40" w:type="dxa"/>
            </w:tcMar>
          </w:tcPr>
          <w:p>
            <w:r>
              <w:rPr>
                <w:rFonts w:ascii="Arial" w:hAnsi="Arial"/>
                <w:sz w:val="13"/>
              </w:rPr>
              <w:t>gong_how_2025</w:t>
            </w:r>
          </w:p>
        </w:tc>
        <w:tc>
          <w:tcPr>
            <w:tcW w:type="dxa" w:w="1726"/>
            <w:vAlign w:val="top"/>
            <w:tcMar>
              <w:top w:w="40" w:type="dxa"/>
              <w:left w:w="40" w:type="dxa"/>
              <w:bottom w:w="40" w:type="dxa"/>
              <w:right w:w="40" w:type="dxa"/>
            </w:tcMar>
          </w:tcPr>
          <w:p>
            <w:r>
              <w:rPr>
                <w:rFonts w:ascii="Arial" w:hAnsi="Arial"/>
                <w:sz w:val="13"/>
              </w:rPr>
              <w:t>2025</w:t>
            </w:r>
          </w:p>
        </w:tc>
        <w:tc>
          <w:tcPr>
            <w:tcW w:type="dxa" w:w="1726"/>
            <w:vAlign w:val="top"/>
            <w:tcMar>
              <w:top w:w="40" w:type="dxa"/>
              <w:left w:w="40" w:type="dxa"/>
              <w:bottom w:w="40" w:type="dxa"/>
              <w:right w:w="40" w:type="dxa"/>
            </w:tcMar>
          </w:tcPr>
          <w:p>
            <w:r>
              <w:rPr>
                <w:rFonts w:ascii="Arial" w:hAnsi="Arial"/>
                <w:sz w:val="13"/>
              </w:rPr>
              <w:t>A2</w:t>
            </w:r>
          </w:p>
        </w:tc>
        <w:tc>
          <w:tcPr>
            <w:tcW w:type="dxa" w:w="1726"/>
            <w:vAlign w:val="top"/>
            <w:tcMar>
              <w:top w:w="40" w:type="dxa"/>
              <w:left w:w="40" w:type="dxa"/>
              <w:bottom w:w="40" w:type="dxa"/>
              <w:right w:w="40" w:type="dxa"/>
            </w:tcMar>
          </w:tcPr>
          <w:p>
            <w:r>
              <w:rPr>
                <w:rFonts w:ascii="Arial" w:hAnsi="Arial"/>
                <w:sz w:val="13"/>
              </w:rPr>
              <w:t>SUPPORTING</w:t>
            </w:r>
          </w:p>
        </w:tc>
        <w:tc>
          <w:tcPr>
            <w:tcW w:type="dxa" w:w="1726"/>
            <w:vAlign w:val="top"/>
            <w:tcMar>
              <w:top w:w="40" w:type="dxa"/>
              <w:left w:w="40" w:type="dxa"/>
              <w:bottom w:w="40" w:type="dxa"/>
              <w:right w:w="40" w:type="dxa"/>
            </w:tcMar>
          </w:tcPr>
          <w:p>
            <w:r>
              <w:rPr>
                <w:rFonts w:ascii="Arial" w:hAnsi="Arial"/>
                <w:sz w:val="13"/>
              </w:rPr>
              <w:t>End-to-end secure-code agents often generated insecure code and showed blind spots in self-repair.</w:t>
            </w:r>
          </w:p>
        </w:tc>
        <w:tc>
          <w:tcPr>
            <w:tcW w:type="dxa" w:w="1726"/>
            <w:vAlign w:val="top"/>
            <w:tcMar>
              <w:top w:w="40" w:type="dxa"/>
              <w:left w:w="40" w:type="dxa"/>
              <w:bottom w:w="40" w:type="dxa"/>
              <w:right w:w="40" w:type="dxa"/>
            </w:tcMar>
          </w:tcPr>
          <w:p>
            <w:r>
              <w:rPr>
                <w:rFonts w:ascii="Arial" w:hAnsi="Arial"/>
                <w:sz w:val="13"/>
              </w:rPr>
              <w:t>Insecure-code rates reported across 121 SecurityEval tasks; self-repair success 65.9%-85.5%.</w:t>
            </w:r>
          </w:p>
        </w:tc>
        <w:tc>
          <w:tcPr>
            <w:tcW w:type="dxa" w:w="1726"/>
            <w:vAlign w:val="top"/>
            <w:tcMar>
              <w:top w:w="40" w:type="dxa"/>
              <w:left w:w="40" w:type="dxa"/>
              <w:bottom w:w="40" w:type="dxa"/>
              <w:right w:w="40" w:type="dxa"/>
            </w:tcMar>
          </w:tcPr>
          <w:p>
            <w:r>
              <w:rPr>
                <w:rFonts w:ascii="Arial" w:hAnsi="Arial"/>
                <w:sz w:val="13"/>
              </w:rPr>
              <w:t>Mixed: repair helps but does not eliminate security unreliability.</w:t>
            </w:r>
          </w:p>
        </w:tc>
        <w:tc>
          <w:tcPr>
            <w:tcW w:type="dxa" w:w="1726"/>
            <w:vAlign w:val="top"/>
            <w:tcMar>
              <w:top w:w="40" w:type="dxa"/>
              <w:left w:w="40" w:type="dxa"/>
              <w:bottom w:w="40" w:type="dxa"/>
              <w:right w:w="40" w:type="dxa"/>
            </w:tcMar>
          </w:tcPr>
          <w:p>
            <w:r>
              <w:rPr>
                <w:rFonts w:ascii="Arial" w:hAnsi="Arial"/>
                <w:sz w:val="13"/>
              </w:rPr>
              <w:t>Results/RQ discussion, pp. 5-11</w:t>
            </w:r>
          </w:p>
        </w:tc>
        <w:tc>
          <w:tcPr>
            <w:tcW w:type="dxa" w:w="1726"/>
            <w:vAlign w:val="top"/>
            <w:tcMar>
              <w:top w:w="40" w:type="dxa"/>
              <w:left w:w="40" w:type="dxa"/>
              <w:bottom w:w="40" w:type="dxa"/>
              <w:right w:w="40" w:type="dxa"/>
            </w:tcMar>
          </w:tcPr>
          <w:p>
            <w:r>
              <w:rPr>
                <w:rFonts w:ascii="Arial" w:hAnsi="Arial"/>
                <w:sz w:val="13"/>
              </w:rPr>
              <w:t>self-repair</w:t>
            </w:r>
          </w:p>
        </w:tc>
      </w:tr>
      <w:tr>
        <w:tc>
          <w:tcPr>
            <w:tcW w:type="dxa" w:w="1726"/>
            <w:vAlign w:val="top"/>
            <w:tcMar>
              <w:top w:w="40" w:type="dxa"/>
              <w:left w:w="40" w:type="dxa"/>
              <w:bottom w:w="40" w:type="dxa"/>
              <w:right w:w="40" w:type="dxa"/>
            </w:tcMar>
          </w:tcPr>
          <w:p>
            <w:r>
              <w:rPr>
                <w:rFonts w:ascii="Arial" w:hAnsi="Arial"/>
                <w:sz w:val="13"/>
              </w:rPr>
              <w:t>kim_codexity_2024</w:t>
            </w:r>
          </w:p>
        </w:tc>
        <w:tc>
          <w:tcPr>
            <w:tcW w:type="dxa" w:w="1726"/>
            <w:vAlign w:val="top"/>
            <w:tcMar>
              <w:top w:w="40" w:type="dxa"/>
              <w:left w:w="40" w:type="dxa"/>
              <w:bottom w:w="40" w:type="dxa"/>
              <w:right w:w="40" w:type="dxa"/>
            </w:tcMar>
          </w:tcPr>
          <w:p>
            <w:r>
              <w:rPr>
                <w:rFonts w:ascii="Arial" w:hAnsi="Arial"/>
                <w:sz w:val="13"/>
              </w:rPr>
              <w:t>2024</w:t>
            </w:r>
          </w:p>
        </w:tc>
        <w:tc>
          <w:tcPr>
            <w:tcW w:type="dxa" w:w="1726"/>
            <w:vAlign w:val="top"/>
            <w:tcMar>
              <w:top w:w="40" w:type="dxa"/>
              <w:left w:w="40" w:type="dxa"/>
              <w:bottom w:w="40" w:type="dxa"/>
              <w:right w:w="40" w:type="dxa"/>
            </w:tcMar>
          </w:tcPr>
          <w:p>
            <w:r>
              <w:rPr>
                <w:rFonts w:ascii="Arial" w:hAnsi="Arial"/>
                <w:sz w:val="13"/>
              </w:rPr>
              <w:t>A1</w:t>
            </w:r>
          </w:p>
        </w:tc>
        <w:tc>
          <w:tcPr>
            <w:tcW w:type="dxa" w:w="1726"/>
            <w:vAlign w:val="top"/>
            <w:tcMar>
              <w:top w:w="40" w:type="dxa"/>
              <w:left w:w="40" w:type="dxa"/>
              <w:bottom w:w="40" w:type="dxa"/>
              <w:right w:w="40" w:type="dxa"/>
            </w:tcMar>
          </w:tcPr>
          <w:p>
            <w:r>
              <w:rPr>
                <w:rFonts w:ascii="Arial" w:hAnsi="Arial"/>
                <w:sz w:val="13"/>
              </w:rPr>
              <w:t>SUPPORTING</w:t>
            </w:r>
          </w:p>
        </w:tc>
        <w:tc>
          <w:tcPr>
            <w:tcW w:type="dxa" w:w="1726"/>
            <w:vAlign w:val="top"/>
            <w:tcMar>
              <w:top w:w="40" w:type="dxa"/>
              <w:left w:w="40" w:type="dxa"/>
              <w:bottom w:w="40" w:type="dxa"/>
              <w:right w:w="40" w:type="dxa"/>
            </w:tcMar>
          </w:tcPr>
          <w:p>
            <w:r>
              <w:rPr>
                <w:rFonts w:ascii="Arial" w:hAnsi="Arial"/>
                <w:sz w:val="13"/>
              </w:rPr>
              <w:t>Codexity reduced vulnerable generations through a secure generation workflow, but the need for the workflow shows ordinary code generation is not reliably secure.</w:t>
            </w:r>
          </w:p>
        </w:tc>
        <w:tc>
          <w:tcPr>
            <w:tcW w:type="dxa" w:w="1726"/>
            <w:vAlign w:val="top"/>
            <w:tcMar>
              <w:top w:w="40" w:type="dxa"/>
              <w:left w:w="40" w:type="dxa"/>
              <w:bottom w:w="40" w:type="dxa"/>
              <w:right w:w="40" w:type="dxa"/>
            </w:tcMar>
          </w:tcPr>
          <w:p>
            <w:r>
              <w:rPr>
                <w:rFonts w:ascii="Arial" w:hAnsi="Arial"/>
                <w:sz w:val="13"/>
              </w:rPr>
              <w:t>Real-world benchmark of 751 vulnerable subjects from 90 prompts; prevented 60% of vulnerable programs.</w:t>
            </w:r>
          </w:p>
        </w:tc>
        <w:tc>
          <w:tcPr>
            <w:tcW w:type="dxa" w:w="1726"/>
            <w:vAlign w:val="top"/>
            <w:tcMar>
              <w:top w:w="40" w:type="dxa"/>
              <w:left w:w="40" w:type="dxa"/>
              <w:bottom w:w="40" w:type="dxa"/>
              <w:right w:w="40" w:type="dxa"/>
            </w:tcMar>
          </w:tcPr>
          <w:p>
            <w:r>
              <w:rPr>
                <w:rFonts w:ascii="Arial" w:hAnsi="Arial"/>
                <w:sz w:val="13"/>
              </w:rPr>
              <w:t>Positive with caveat: structured repair/verification improves reliability.</w:t>
            </w:r>
          </w:p>
        </w:tc>
        <w:tc>
          <w:tcPr>
            <w:tcW w:type="dxa" w:w="1726"/>
            <w:vAlign w:val="top"/>
            <w:tcMar>
              <w:top w:w="40" w:type="dxa"/>
              <w:left w:w="40" w:type="dxa"/>
              <w:bottom w:w="40" w:type="dxa"/>
              <w:right w:w="40" w:type="dxa"/>
            </w:tcMar>
          </w:tcPr>
          <w:p>
            <w:r>
              <w:rPr>
                <w:rFonts w:ascii="Arial" w:hAnsi="Arial"/>
                <w:sz w:val="13"/>
              </w:rPr>
              <w:t>Evaluation/RQ1-RQ3, pp. 6-11</w:t>
            </w:r>
          </w:p>
        </w:tc>
        <w:tc>
          <w:tcPr>
            <w:tcW w:type="dxa" w:w="1726"/>
            <w:vAlign w:val="top"/>
            <w:tcMar>
              <w:top w:w="40" w:type="dxa"/>
              <w:left w:w="40" w:type="dxa"/>
              <w:bottom w:w="40" w:type="dxa"/>
              <w:right w:w="40" w:type="dxa"/>
            </w:tcMar>
          </w:tcPr>
          <w:p>
            <w:r>
              <w:rPr>
                <w:rFonts w:ascii="Arial" w:hAnsi="Arial"/>
                <w:sz w:val="13"/>
              </w:rPr>
              <w:t>self-repair</w:t>
            </w:r>
          </w:p>
        </w:tc>
      </w:tr>
      <w:tr>
        <w:tc>
          <w:tcPr>
            <w:tcW w:type="dxa" w:w="1726"/>
            <w:vAlign w:val="top"/>
            <w:tcMar>
              <w:top w:w="40" w:type="dxa"/>
              <w:left w:w="40" w:type="dxa"/>
              <w:bottom w:w="40" w:type="dxa"/>
              <w:right w:w="40" w:type="dxa"/>
            </w:tcMar>
          </w:tcPr>
          <w:p>
            <w:r>
              <w:rPr>
                <w:rFonts w:ascii="Arial" w:hAnsi="Arial"/>
                <w:sz w:val="13"/>
              </w:rPr>
              <w:t>li_prompting_2024</w:t>
            </w:r>
          </w:p>
        </w:tc>
        <w:tc>
          <w:tcPr>
            <w:tcW w:type="dxa" w:w="1726"/>
            <w:vAlign w:val="top"/>
            <w:tcMar>
              <w:top w:w="40" w:type="dxa"/>
              <w:left w:w="40" w:type="dxa"/>
              <w:bottom w:w="40" w:type="dxa"/>
              <w:right w:w="40" w:type="dxa"/>
            </w:tcMar>
          </w:tcPr>
          <w:p>
            <w:r>
              <w:rPr>
                <w:rFonts w:ascii="Arial" w:hAnsi="Arial"/>
                <w:sz w:val="13"/>
              </w:rPr>
              <w:t>2024</w:t>
            </w:r>
          </w:p>
        </w:tc>
        <w:tc>
          <w:tcPr>
            <w:tcW w:type="dxa" w:w="1726"/>
            <w:vAlign w:val="top"/>
            <w:tcMar>
              <w:top w:w="40" w:type="dxa"/>
              <w:left w:w="40" w:type="dxa"/>
              <w:bottom w:w="40" w:type="dxa"/>
              <w:right w:w="40" w:type="dxa"/>
            </w:tcMar>
          </w:tcPr>
          <w:p>
            <w:r>
              <w:rPr>
                <w:rFonts w:ascii="Arial" w:hAnsi="Arial"/>
                <w:sz w:val="13"/>
              </w:rPr>
              <w:t>A1</w:t>
            </w:r>
          </w:p>
        </w:tc>
        <w:tc>
          <w:tcPr>
            <w:tcW w:type="dxa" w:w="1726"/>
            <w:vAlign w:val="top"/>
            <w:tcMar>
              <w:top w:w="40" w:type="dxa"/>
              <w:left w:w="40" w:type="dxa"/>
              <w:bottom w:w="40" w:type="dxa"/>
              <w:right w:w="40" w:type="dxa"/>
            </w:tcMar>
          </w:tcPr>
          <w:p>
            <w:r>
              <w:rPr>
                <w:rFonts w:ascii="Arial" w:hAnsi="Arial"/>
                <w:sz w:val="13"/>
              </w:rPr>
              <w:t>SUPPORTING</w:t>
            </w:r>
          </w:p>
        </w:tc>
        <w:tc>
          <w:tcPr>
            <w:tcW w:type="dxa" w:w="1726"/>
            <w:vAlign w:val="top"/>
            <w:tcMar>
              <w:top w:w="40" w:type="dxa"/>
              <w:left w:w="40" w:type="dxa"/>
              <w:bottom w:w="40" w:type="dxa"/>
              <w:right w:w="40" w:type="dxa"/>
            </w:tcMar>
          </w:tcPr>
          <w:p>
            <w:r>
              <w:rPr>
                <w:rFonts w:ascii="Arial" w:hAnsi="Arial"/>
                <w:sz w:val="13"/>
              </w:rPr>
              <w:t>Full-lifecycle prompting showed that performance varied across software-development phases, with stronger models still failing on intermediate artefacts and end-to-end coordination.</w:t>
            </w:r>
          </w:p>
        </w:tc>
        <w:tc>
          <w:tcPr>
            <w:tcW w:type="dxa" w:w="1726"/>
            <w:vAlign w:val="top"/>
            <w:tcMar>
              <w:top w:w="40" w:type="dxa"/>
              <w:left w:w="40" w:type="dxa"/>
              <w:bottom w:w="40" w:type="dxa"/>
              <w:right w:w="40" w:type="dxa"/>
            </w:tcMar>
          </w:tcPr>
          <w:p>
            <w:r>
              <w:rPr>
                <w:rFonts w:ascii="Arial" w:hAnsi="Arial"/>
                <w:sz w:val="13"/>
              </w:rPr>
              <w:t>DevEval-style lifecycle tasks; reported Pass@/acceptance-test metrics across requirements, design, code and tests.</w:t>
            </w:r>
          </w:p>
        </w:tc>
        <w:tc>
          <w:tcPr>
            <w:tcW w:type="dxa" w:w="1726"/>
            <w:vAlign w:val="top"/>
            <w:tcMar>
              <w:top w:w="40" w:type="dxa"/>
              <w:left w:w="40" w:type="dxa"/>
              <w:bottom w:w="40" w:type="dxa"/>
              <w:right w:w="40" w:type="dxa"/>
            </w:tcMar>
          </w:tcPr>
          <w:p>
            <w:r>
              <w:rPr>
                <w:rFonts w:ascii="Arial" w:hAnsi="Arial"/>
                <w:sz w:val="13"/>
              </w:rPr>
              <w:t>Mixed: prompting extends coverage but phase reliability is uneven.</w:t>
            </w:r>
          </w:p>
        </w:tc>
        <w:tc>
          <w:tcPr>
            <w:tcW w:type="dxa" w:w="1726"/>
            <w:vAlign w:val="top"/>
            <w:tcMar>
              <w:top w:w="40" w:type="dxa"/>
              <w:left w:w="40" w:type="dxa"/>
              <w:bottom w:w="40" w:type="dxa"/>
              <w:right w:w="40" w:type="dxa"/>
            </w:tcMar>
          </w:tcPr>
          <w:p>
            <w:r>
              <w:rPr>
                <w:rFonts w:ascii="Arial" w:hAnsi="Arial"/>
                <w:sz w:val="13"/>
              </w:rPr>
              <w:t>Evaluation and discussion, pp. 6-15</w:t>
            </w:r>
          </w:p>
        </w:tc>
        <w:tc>
          <w:tcPr>
            <w:tcW w:type="dxa" w:w="1726"/>
            <w:vAlign w:val="top"/>
            <w:tcMar>
              <w:top w:w="40" w:type="dxa"/>
              <w:left w:w="40" w:type="dxa"/>
              <w:bottom w:w="40" w:type="dxa"/>
              <w:right w:w="40" w:type="dxa"/>
            </w:tcMar>
          </w:tcPr>
          <w:p>
            <w:r>
              <w:rPr>
                <w:rFonts w:ascii="Arial" w:hAnsi="Arial"/>
                <w:sz w:val="13"/>
              </w:rPr>
              <w:t>agentic reliability</w:t>
            </w:r>
          </w:p>
        </w:tc>
      </w:tr>
      <w:tr>
        <w:tc>
          <w:tcPr>
            <w:tcW w:type="dxa" w:w="1726"/>
            <w:vAlign w:val="top"/>
            <w:tcMar>
              <w:top w:w="40" w:type="dxa"/>
              <w:left w:w="40" w:type="dxa"/>
              <w:bottom w:w="40" w:type="dxa"/>
              <w:right w:w="40" w:type="dxa"/>
            </w:tcMar>
          </w:tcPr>
          <w:p>
            <w:r>
              <w:rPr>
                <w:rFonts w:ascii="Arial" w:hAnsi="Arial"/>
                <w:sz w:val="13"/>
              </w:rPr>
              <w:t>ceran_security_2025</w:t>
            </w:r>
          </w:p>
        </w:tc>
        <w:tc>
          <w:tcPr>
            <w:tcW w:type="dxa" w:w="1726"/>
            <w:vAlign w:val="top"/>
            <w:tcMar>
              <w:top w:w="40" w:type="dxa"/>
              <w:left w:w="40" w:type="dxa"/>
              <w:bottom w:w="40" w:type="dxa"/>
              <w:right w:w="40" w:type="dxa"/>
            </w:tcMar>
          </w:tcPr>
          <w:p>
            <w:r>
              <w:rPr>
                <w:rFonts w:ascii="Arial" w:hAnsi="Arial"/>
                <w:sz w:val="13"/>
              </w:rPr>
              <w:t>2025</w:t>
            </w:r>
          </w:p>
        </w:tc>
        <w:tc>
          <w:tcPr>
            <w:tcW w:type="dxa" w:w="1726"/>
            <w:vAlign w:val="top"/>
            <w:tcMar>
              <w:top w:w="40" w:type="dxa"/>
              <w:left w:w="40" w:type="dxa"/>
              <w:bottom w:w="40" w:type="dxa"/>
              <w:right w:w="40" w:type="dxa"/>
            </w:tcMar>
          </w:tcPr>
          <w:p>
            <w:r>
              <w:rPr>
                <w:rFonts w:ascii="Arial" w:hAnsi="Arial"/>
                <w:sz w:val="13"/>
              </w:rPr>
              <w:t>A1</w:t>
            </w:r>
          </w:p>
        </w:tc>
        <w:tc>
          <w:tcPr>
            <w:tcW w:type="dxa" w:w="1726"/>
            <w:vAlign w:val="top"/>
            <w:tcMar>
              <w:top w:w="40" w:type="dxa"/>
              <w:left w:w="40" w:type="dxa"/>
              <w:bottom w:w="40" w:type="dxa"/>
              <w:right w:w="40" w:type="dxa"/>
            </w:tcMar>
          </w:tcPr>
          <w:p>
            <w:r>
              <w:rPr>
                <w:rFonts w:ascii="Arial" w:hAnsi="Arial"/>
                <w:sz w:val="13"/>
              </w:rPr>
              <w:t>SUPPORTING</w:t>
            </w:r>
          </w:p>
        </w:tc>
        <w:tc>
          <w:tcPr>
            <w:tcW w:type="dxa" w:w="1726"/>
            <w:vAlign w:val="top"/>
            <w:tcMar>
              <w:top w:w="40" w:type="dxa"/>
              <w:left w:w="40" w:type="dxa"/>
              <w:bottom w:w="40" w:type="dxa"/>
              <w:right w:w="40" w:type="dxa"/>
            </w:tcMar>
          </w:tcPr>
          <w:p>
            <w:r>
              <w:rPr>
                <w:rFonts w:ascii="Arial" w:hAnsi="Arial"/>
                <w:sz w:val="13"/>
              </w:rPr>
              <w:t>Generic security prompts were insufficient; more specific secure-design and OWASP-oriented prompts were needed to reduce security risk.</w:t>
            </w:r>
          </w:p>
        </w:tc>
        <w:tc>
          <w:tcPr>
            <w:tcW w:type="dxa" w:w="1726"/>
            <w:vAlign w:val="top"/>
            <w:tcMar>
              <w:top w:w="40" w:type="dxa"/>
              <w:left w:w="40" w:type="dxa"/>
              <w:bottom w:w="40" w:type="dxa"/>
              <w:right w:w="40" w:type="dxa"/>
            </w:tcMar>
          </w:tcPr>
          <w:p>
            <w:r>
              <w:rPr>
                <w:rFonts w:ascii="Arial" w:hAnsi="Arial"/>
                <w:sz w:val="13"/>
              </w:rPr>
              <w:t>Ten coding tasks across three iterations for ChatGPT, Copilot and Gemini; static/dynamic analysis compared risk levels.</w:t>
            </w:r>
          </w:p>
        </w:tc>
        <w:tc>
          <w:tcPr>
            <w:tcW w:type="dxa" w:w="1726"/>
            <w:vAlign w:val="top"/>
            <w:tcMar>
              <w:top w:w="40" w:type="dxa"/>
              <w:left w:w="40" w:type="dxa"/>
              <w:bottom w:w="40" w:type="dxa"/>
              <w:right w:w="40" w:type="dxa"/>
            </w:tcMar>
          </w:tcPr>
          <w:p>
            <w:r>
              <w:rPr>
                <w:rFonts w:ascii="Arial" w:hAnsi="Arial"/>
                <w:sz w:val="13"/>
              </w:rPr>
              <w:t>Negative: prompt generality increases security unreliability.</w:t>
            </w:r>
          </w:p>
        </w:tc>
        <w:tc>
          <w:tcPr>
            <w:tcW w:type="dxa" w:w="1726"/>
            <w:vAlign w:val="top"/>
            <w:tcMar>
              <w:top w:w="40" w:type="dxa"/>
              <w:left w:w="40" w:type="dxa"/>
              <w:bottom w:w="40" w:type="dxa"/>
              <w:right w:w="40" w:type="dxa"/>
            </w:tcMar>
          </w:tcPr>
          <w:p>
            <w:r>
              <w:rPr>
                <w:rFonts w:ascii="Arial" w:hAnsi="Arial"/>
                <w:sz w:val="13"/>
              </w:rPr>
              <w:t>Results/discussion, pp. 6-12</w:t>
            </w:r>
          </w:p>
        </w:tc>
        <w:tc>
          <w:tcPr>
            <w:tcW w:type="dxa" w:w="1726"/>
            <w:vAlign w:val="top"/>
            <w:tcMar>
              <w:top w:w="40" w:type="dxa"/>
              <w:left w:w="40" w:type="dxa"/>
              <w:bottom w:w="40" w:type="dxa"/>
              <w:right w:w="40" w:type="dxa"/>
            </w:tcMar>
          </w:tcPr>
          <w:p>
            <w:r>
              <w:rPr>
                <w:rFonts w:ascii="Arial" w:hAnsi="Arial"/>
                <w:sz w:val="13"/>
              </w:rPr>
              <w:t>prompt sensitivity</w:t>
            </w:r>
          </w:p>
        </w:tc>
      </w:tr>
      <w:tr>
        <w:tc>
          <w:tcPr>
            <w:tcW w:type="dxa" w:w="1726"/>
            <w:vAlign w:val="top"/>
            <w:tcMar>
              <w:top w:w="40" w:type="dxa"/>
              <w:left w:w="40" w:type="dxa"/>
              <w:bottom w:w="40" w:type="dxa"/>
              <w:right w:w="40" w:type="dxa"/>
            </w:tcMar>
          </w:tcPr>
          <w:p>
            <w:r>
              <w:rPr>
                <w:rFonts w:ascii="Arial" w:hAnsi="Arial"/>
                <w:sz w:val="13"/>
              </w:rPr>
              <w:t>nascimento_how_2025</w:t>
            </w:r>
          </w:p>
        </w:tc>
        <w:tc>
          <w:tcPr>
            <w:tcW w:type="dxa" w:w="1726"/>
            <w:vAlign w:val="top"/>
            <w:tcMar>
              <w:top w:w="40" w:type="dxa"/>
              <w:left w:w="40" w:type="dxa"/>
              <w:bottom w:w="40" w:type="dxa"/>
              <w:right w:w="40" w:type="dxa"/>
            </w:tcMar>
          </w:tcPr>
          <w:p>
            <w:r>
              <w:rPr>
                <w:rFonts w:ascii="Arial" w:hAnsi="Arial"/>
                <w:sz w:val="13"/>
              </w:rPr>
              <w:t>2025</w:t>
            </w:r>
          </w:p>
        </w:tc>
        <w:tc>
          <w:tcPr>
            <w:tcW w:type="dxa" w:w="1726"/>
            <w:vAlign w:val="top"/>
            <w:tcMar>
              <w:top w:w="40" w:type="dxa"/>
              <w:left w:w="40" w:type="dxa"/>
              <w:bottom w:w="40" w:type="dxa"/>
              <w:right w:w="40" w:type="dxa"/>
            </w:tcMar>
          </w:tcPr>
          <w:p>
            <w:r>
              <w:rPr>
                <w:rFonts w:ascii="Arial" w:hAnsi="Arial"/>
                <w:sz w:val="13"/>
              </w:rPr>
              <w:t>A2</w:t>
            </w:r>
          </w:p>
        </w:tc>
        <w:tc>
          <w:tcPr>
            <w:tcW w:type="dxa" w:w="1726"/>
            <w:vAlign w:val="top"/>
            <w:tcMar>
              <w:top w:w="40" w:type="dxa"/>
              <w:left w:w="40" w:type="dxa"/>
              <w:bottom w:w="40" w:type="dxa"/>
              <w:right w:w="40" w:type="dxa"/>
            </w:tcMar>
          </w:tcPr>
          <w:p>
            <w:r>
              <w:rPr>
                <w:rFonts w:ascii="Arial" w:hAnsi="Arial"/>
                <w:sz w:val="13"/>
              </w:rPr>
              <w:t>SUPPORTING</w:t>
            </w:r>
          </w:p>
        </w:tc>
        <w:tc>
          <w:tcPr>
            <w:tcW w:type="dxa" w:w="1726"/>
            <w:vAlign w:val="top"/>
            <w:tcMar>
              <w:top w:w="40" w:type="dxa"/>
              <w:left w:w="40" w:type="dxa"/>
              <w:bottom w:w="40" w:type="dxa"/>
              <w:right w:w="40" w:type="dxa"/>
            </w:tcMar>
          </w:tcPr>
          <w:p>
            <w:r>
              <w:rPr>
                <w:rFonts w:ascii="Arial" w:hAnsi="Arial"/>
                <w:sz w:val="13"/>
              </w:rPr>
              <w:t>Data-science coding results varied by model, prompt structure and task type, underlining the need for task-specific evaluation rather than generic coding claims.</w:t>
            </w:r>
          </w:p>
        </w:tc>
        <w:tc>
          <w:tcPr>
            <w:tcW w:type="dxa" w:w="1726"/>
            <w:vAlign w:val="top"/>
            <w:tcMar>
              <w:top w:w="40" w:type="dxa"/>
              <w:left w:w="40" w:type="dxa"/>
              <w:bottom w:w="40" w:type="dxa"/>
              <w:right w:w="40" w:type="dxa"/>
            </w:tcMar>
          </w:tcPr>
          <w:p>
            <w:r>
              <w:rPr>
                <w:rFonts w:ascii="Arial" w:hAnsi="Arial"/>
                <w:sz w:val="13"/>
              </w:rPr>
              <w:t>Only ChatGPT and Claude achieved success rates significantly beyond random chance in the controlled experiment.</w:t>
            </w:r>
          </w:p>
        </w:tc>
        <w:tc>
          <w:tcPr>
            <w:tcW w:type="dxa" w:w="1726"/>
            <w:vAlign w:val="top"/>
            <w:tcMar>
              <w:top w:w="40" w:type="dxa"/>
              <w:left w:w="40" w:type="dxa"/>
              <w:bottom w:w="40" w:type="dxa"/>
              <w:right w:w="40" w:type="dxa"/>
            </w:tcMar>
          </w:tcPr>
          <w:p>
            <w:r>
              <w:rPr>
                <w:rFonts w:ascii="Arial" w:hAnsi="Arial"/>
                <w:sz w:val="13"/>
              </w:rPr>
              <w:t>Mixed: capability exists but is task- and model-sensitive.</w:t>
            </w:r>
          </w:p>
        </w:tc>
        <w:tc>
          <w:tcPr>
            <w:tcW w:type="dxa" w:w="1726"/>
            <w:vAlign w:val="top"/>
            <w:tcMar>
              <w:top w:w="40" w:type="dxa"/>
              <w:left w:w="40" w:type="dxa"/>
              <w:bottom w:w="40" w:type="dxa"/>
              <w:right w:w="40" w:type="dxa"/>
            </w:tcMar>
          </w:tcPr>
          <w:p>
            <w:r>
              <w:rPr>
                <w:rFonts w:ascii="Arial" w:hAnsi="Arial"/>
                <w:sz w:val="13"/>
              </w:rPr>
              <w:t>Results/discussion, pp. 5-10</w:t>
            </w:r>
          </w:p>
        </w:tc>
        <w:tc>
          <w:tcPr>
            <w:tcW w:type="dxa" w:w="1726"/>
            <w:vAlign w:val="top"/>
            <w:tcMar>
              <w:top w:w="40" w:type="dxa"/>
              <w:left w:w="40" w:type="dxa"/>
              <w:bottom w:w="40" w:type="dxa"/>
              <w:right w:w="40" w:type="dxa"/>
            </w:tcMar>
          </w:tcPr>
          <w:p>
            <w:r>
              <w:rPr>
                <w:rFonts w:ascii="Arial" w:hAnsi="Arial"/>
                <w:sz w:val="13"/>
              </w:rPr>
              <w:t>evaluation validity</w:t>
            </w:r>
          </w:p>
        </w:tc>
      </w:tr>
      <w:tr>
        <w:tc>
          <w:tcPr>
            <w:tcW w:type="dxa" w:w="1726"/>
            <w:vAlign w:val="top"/>
            <w:tcMar>
              <w:top w:w="40" w:type="dxa"/>
              <w:left w:w="40" w:type="dxa"/>
              <w:bottom w:w="40" w:type="dxa"/>
              <w:right w:w="40" w:type="dxa"/>
            </w:tcMar>
          </w:tcPr>
          <w:p>
            <w:r>
              <w:rPr>
                <w:rFonts w:ascii="Arial" w:hAnsi="Arial"/>
                <w:sz w:val="13"/>
              </w:rPr>
              <w:t>corso_generating_2024</w:t>
            </w:r>
          </w:p>
        </w:tc>
        <w:tc>
          <w:tcPr>
            <w:tcW w:type="dxa" w:w="1726"/>
            <w:vAlign w:val="top"/>
            <w:tcMar>
              <w:top w:w="40" w:type="dxa"/>
              <w:left w:w="40" w:type="dxa"/>
              <w:bottom w:w="40" w:type="dxa"/>
              <w:right w:w="40" w:type="dxa"/>
            </w:tcMar>
          </w:tcPr>
          <w:p>
            <w:r>
              <w:rPr>
                <w:rFonts w:ascii="Arial" w:hAnsi="Arial"/>
                <w:sz w:val="13"/>
              </w:rPr>
              <w:t>2024</w:t>
            </w:r>
          </w:p>
        </w:tc>
        <w:tc>
          <w:tcPr>
            <w:tcW w:type="dxa" w:w="1726"/>
            <w:vAlign w:val="top"/>
            <w:tcMar>
              <w:top w:w="40" w:type="dxa"/>
              <w:left w:w="40" w:type="dxa"/>
              <w:bottom w:w="40" w:type="dxa"/>
              <w:right w:w="40" w:type="dxa"/>
            </w:tcMar>
          </w:tcPr>
          <w:p>
            <w:r>
              <w:rPr>
                <w:rFonts w:ascii="Arial" w:hAnsi="Arial"/>
                <w:sz w:val="13"/>
              </w:rPr>
              <w:t>A2</w:t>
            </w:r>
          </w:p>
        </w:tc>
        <w:tc>
          <w:tcPr>
            <w:tcW w:type="dxa" w:w="1726"/>
            <w:vAlign w:val="top"/>
            <w:tcMar>
              <w:top w:w="40" w:type="dxa"/>
              <w:left w:w="40" w:type="dxa"/>
              <w:bottom w:w="40" w:type="dxa"/>
              <w:right w:w="40" w:type="dxa"/>
            </w:tcMar>
          </w:tcPr>
          <w:p>
            <w:r>
              <w:rPr>
                <w:rFonts w:ascii="Arial" w:hAnsi="Arial"/>
                <w:sz w:val="13"/>
              </w:rPr>
              <w:t>SUPPORTING</w:t>
            </w:r>
          </w:p>
        </w:tc>
        <w:tc>
          <w:tcPr>
            <w:tcW w:type="dxa" w:w="1726"/>
            <w:vAlign w:val="top"/>
            <w:tcMar>
              <w:top w:w="40" w:type="dxa"/>
              <w:left w:w="40" w:type="dxa"/>
              <w:bottom w:w="40" w:type="dxa"/>
              <w:right w:w="40" w:type="dxa"/>
            </w:tcMar>
          </w:tcPr>
          <w:p>
            <w:r>
              <w:rPr>
                <w:rFonts w:ascii="Arial" w:hAnsi="Arial"/>
                <w:sz w:val="13"/>
              </w:rPr>
              <w:t>Java-method generation varied substantially across assistants, indicating that model choice is itself a reliability condition for HAI claims.</w:t>
            </w:r>
          </w:p>
        </w:tc>
        <w:tc>
          <w:tcPr>
            <w:tcW w:type="dxa" w:w="1726"/>
            <w:vAlign w:val="top"/>
            <w:tcMar>
              <w:top w:w="40" w:type="dxa"/>
              <w:left w:w="40" w:type="dxa"/>
              <w:bottom w:w="40" w:type="dxa"/>
              <w:right w:w="40" w:type="dxa"/>
            </w:tcMar>
          </w:tcPr>
          <w:p>
            <w:r>
              <w:rPr>
                <w:rFonts w:ascii="Arial" w:hAnsi="Arial"/>
                <w:sz w:val="13"/>
              </w:rPr>
              <w:t>Compared four AI-based code assistants on generated Java methods using correctness and quality checks.</w:t>
            </w:r>
          </w:p>
        </w:tc>
        <w:tc>
          <w:tcPr>
            <w:tcW w:type="dxa" w:w="1726"/>
            <w:vAlign w:val="top"/>
            <w:tcMar>
              <w:top w:w="40" w:type="dxa"/>
              <w:left w:w="40" w:type="dxa"/>
              <w:bottom w:w="40" w:type="dxa"/>
              <w:right w:w="40" w:type="dxa"/>
            </w:tcMar>
          </w:tcPr>
          <w:p>
            <w:r>
              <w:rPr>
                <w:rFonts w:ascii="Arial" w:hAnsi="Arial"/>
                <w:sz w:val="13"/>
              </w:rPr>
              <w:t>Mixed: some assistants help, but reliability is uneven.</w:t>
            </w:r>
          </w:p>
        </w:tc>
        <w:tc>
          <w:tcPr>
            <w:tcW w:type="dxa" w:w="1726"/>
            <w:vAlign w:val="top"/>
            <w:tcMar>
              <w:top w:w="40" w:type="dxa"/>
              <w:left w:w="40" w:type="dxa"/>
              <w:bottom w:w="40" w:type="dxa"/>
              <w:right w:w="40" w:type="dxa"/>
            </w:tcMar>
          </w:tcPr>
          <w:p>
            <w:r>
              <w:rPr>
                <w:rFonts w:ascii="Arial" w:hAnsi="Arial"/>
                <w:sz w:val="13"/>
              </w:rPr>
              <w:t>Evaluation/results, pp. 5-9</w:t>
            </w:r>
          </w:p>
        </w:tc>
        <w:tc>
          <w:tcPr>
            <w:tcW w:type="dxa" w:w="1726"/>
            <w:vAlign w:val="top"/>
            <w:tcMar>
              <w:top w:w="40" w:type="dxa"/>
              <w:left w:w="40" w:type="dxa"/>
              <w:bottom w:w="40" w:type="dxa"/>
              <w:right w:w="40" w:type="dxa"/>
            </w:tcMar>
          </w:tcPr>
          <w:p>
            <w:r>
              <w:rPr>
                <w:rFonts w:ascii="Arial" w:hAnsi="Arial"/>
                <w:sz w:val="13"/>
              </w:rPr>
              <w:t>output consistency</w:t>
            </w:r>
          </w:p>
        </w:tc>
      </w:tr>
      <w:tr>
        <w:tc>
          <w:tcPr>
            <w:tcW w:type="dxa" w:w="1726"/>
            <w:vAlign w:val="top"/>
            <w:tcMar>
              <w:top w:w="40" w:type="dxa"/>
              <w:left w:w="40" w:type="dxa"/>
              <w:bottom w:w="40" w:type="dxa"/>
              <w:right w:w="40" w:type="dxa"/>
            </w:tcMar>
          </w:tcPr>
          <w:p>
            <w:r>
              <w:rPr>
                <w:rFonts w:ascii="Arial" w:hAnsi="Arial"/>
                <w:sz w:val="13"/>
              </w:rPr>
              <w:t>erhabor_measuring_2024</w:t>
            </w:r>
          </w:p>
        </w:tc>
        <w:tc>
          <w:tcPr>
            <w:tcW w:type="dxa" w:w="1726"/>
            <w:vAlign w:val="top"/>
            <w:tcMar>
              <w:top w:w="40" w:type="dxa"/>
              <w:left w:w="40" w:type="dxa"/>
              <w:bottom w:w="40" w:type="dxa"/>
              <w:right w:w="40" w:type="dxa"/>
            </w:tcMar>
          </w:tcPr>
          <w:p>
            <w:r>
              <w:rPr>
                <w:rFonts w:ascii="Arial" w:hAnsi="Arial"/>
                <w:sz w:val="13"/>
              </w:rPr>
              <w:t>2024</w:t>
            </w:r>
          </w:p>
        </w:tc>
        <w:tc>
          <w:tcPr>
            <w:tcW w:type="dxa" w:w="1726"/>
            <w:vAlign w:val="top"/>
            <w:tcMar>
              <w:top w:w="40" w:type="dxa"/>
              <w:left w:w="40" w:type="dxa"/>
              <w:bottom w:w="40" w:type="dxa"/>
              <w:right w:w="40" w:type="dxa"/>
            </w:tcMar>
          </w:tcPr>
          <w:p>
            <w:r>
              <w:rPr>
                <w:rFonts w:ascii="Arial" w:hAnsi="Arial"/>
                <w:sz w:val="13"/>
              </w:rPr>
              <w:t>A2</w:t>
            </w:r>
          </w:p>
        </w:tc>
        <w:tc>
          <w:tcPr>
            <w:tcW w:type="dxa" w:w="1726"/>
            <w:vAlign w:val="top"/>
            <w:tcMar>
              <w:top w:w="40" w:type="dxa"/>
              <w:left w:w="40" w:type="dxa"/>
              <w:bottom w:w="40" w:type="dxa"/>
              <w:right w:w="40" w:type="dxa"/>
            </w:tcMar>
          </w:tcPr>
          <w:p>
            <w:r>
              <w:rPr>
                <w:rFonts w:ascii="Arial" w:hAnsi="Arial"/>
                <w:sz w:val="13"/>
              </w:rPr>
              <w:t>SUPPORTING</w:t>
            </w:r>
          </w:p>
        </w:tc>
        <w:tc>
          <w:tcPr>
            <w:tcW w:type="dxa" w:w="1726"/>
            <w:vAlign w:val="top"/>
            <w:tcMar>
              <w:top w:w="40" w:type="dxa"/>
              <w:left w:w="40" w:type="dxa"/>
              <w:bottom w:w="40" w:type="dxa"/>
              <w:right w:w="40" w:type="dxa"/>
            </w:tcMar>
          </w:tcPr>
          <w:p>
            <w:r>
              <w:rPr>
                <w:rFonts w:ascii="Arial" w:hAnsi="Arial"/>
                <w:sz w:val="13"/>
              </w:rPr>
              <w:t>Human use of Copilot did not guarantee better runtime performance; generated influence could sway developers towards slower C++ solutions.</w:t>
            </w:r>
          </w:p>
        </w:tc>
        <w:tc>
          <w:tcPr>
            <w:tcW w:type="dxa" w:w="1726"/>
            <w:vAlign w:val="top"/>
            <w:tcMar>
              <w:top w:w="40" w:type="dxa"/>
              <w:left w:w="40" w:type="dxa"/>
              <w:bottom w:w="40" w:type="dxa"/>
              <w:right w:w="40" w:type="dxa"/>
            </w:tcMar>
          </w:tcPr>
          <w:p>
            <w:r>
              <w:rPr>
                <w:rFonts w:ascii="Arial" w:hAnsi="Arial"/>
                <w:sz w:val="13"/>
              </w:rPr>
              <w:t>Copilot-assisted C++ code was statistically significantly slower in the controlled experiment.</w:t>
            </w:r>
          </w:p>
        </w:tc>
        <w:tc>
          <w:tcPr>
            <w:tcW w:type="dxa" w:w="1726"/>
            <w:vAlign w:val="top"/>
            <w:tcMar>
              <w:top w:w="40" w:type="dxa"/>
              <w:left w:w="40" w:type="dxa"/>
              <w:bottom w:w="40" w:type="dxa"/>
              <w:right w:w="40" w:type="dxa"/>
            </w:tcMar>
          </w:tcPr>
          <w:p>
            <w:r>
              <w:rPr>
                <w:rFonts w:ascii="Arial" w:hAnsi="Arial"/>
                <w:sz w:val="13"/>
              </w:rPr>
              <w:t>Negative: assistance can degrade non-functional reliability.</w:t>
            </w:r>
          </w:p>
        </w:tc>
        <w:tc>
          <w:tcPr>
            <w:tcW w:type="dxa" w:w="1726"/>
            <w:vAlign w:val="top"/>
            <w:tcMar>
              <w:top w:w="40" w:type="dxa"/>
              <w:left w:w="40" w:type="dxa"/>
              <w:bottom w:w="40" w:type="dxa"/>
              <w:right w:w="40" w:type="dxa"/>
            </w:tcMar>
          </w:tcPr>
          <w:p>
            <w:r>
              <w:rPr>
                <w:rFonts w:ascii="Arial" w:hAnsi="Arial"/>
                <w:sz w:val="13"/>
              </w:rPr>
              <w:t>Results/RQ1-RQ2/discussion, pp. 6-11</w:t>
            </w:r>
          </w:p>
        </w:tc>
        <w:tc>
          <w:tcPr>
            <w:tcW w:type="dxa" w:w="1726"/>
            <w:vAlign w:val="top"/>
            <w:tcMar>
              <w:top w:w="40" w:type="dxa"/>
              <w:left w:w="40" w:type="dxa"/>
              <w:bottom w:w="40" w:type="dxa"/>
              <w:right w:w="40" w:type="dxa"/>
            </w:tcMar>
          </w:tcPr>
          <w:p>
            <w:r>
              <w:rPr>
                <w:rFonts w:ascii="Arial" w:hAnsi="Arial"/>
                <w:sz w:val="13"/>
              </w:rPr>
              <w:t>evaluation validity</w:t>
            </w:r>
          </w:p>
        </w:tc>
      </w:tr>
      <w:tr>
        <w:tc>
          <w:tcPr>
            <w:tcW w:type="dxa" w:w="1726"/>
            <w:vAlign w:val="top"/>
            <w:tcMar>
              <w:top w:w="40" w:type="dxa"/>
              <w:left w:w="40" w:type="dxa"/>
              <w:bottom w:w="40" w:type="dxa"/>
              <w:right w:w="40" w:type="dxa"/>
            </w:tcMar>
          </w:tcPr>
          <w:p>
            <w:r>
              <w:rPr>
                <w:rFonts w:ascii="Arial" w:hAnsi="Arial"/>
                <w:sz w:val="13"/>
              </w:rPr>
              <w:t>sagodi_methodology_2024</w:t>
            </w:r>
          </w:p>
        </w:tc>
        <w:tc>
          <w:tcPr>
            <w:tcW w:type="dxa" w:w="1726"/>
            <w:vAlign w:val="top"/>
            <w:tcMar>
              <w:top w:w="40" w:type="dxa"/>
              <w:left w:w="40" w:type="dxa"/>
              <w:bottom w:w="40" w:type="dxa"/>
              <w:right w:w="40" w:type="dxa"/>
            </w:tcMar>
          </w:tcPr>
          <w:p>
            <w:r>
              <w:rPr>
                <w:rFonts w:ascii="Arial" w:hAnsi="Arial"/>
                <w:sz w:val="13"/>
              </w:rPr>
              <w:t>2024</w:t>
            </w:r>
          </w:p>
        </w:tc>
        <w:tc>
          <w:tcPr>
            <w:tcW w:type="dxa" w:w="1726"/>
            <w:vAlign w:val="top"/>
            <w:tcMar>
              <w:top w:w="40" w:type="dxa"/>
              <w:left w:w="40" w:type="dxa"/>
              <w:bottom w:w="40" w:type="dxa"/>
              <w:right w:w="40" w:type="dxa"/>
            </w:tcMar>
          </w:tcPr>
          <w:p>
            <w:r>
              <w:rPr>
                <w:rFonts w:ascii="Arial" w:hAnsi="Arial"/>
                <w:sz w:val="13"/>
              </w:rPr>
              <w:t>A2</w:t>
            </w:r>
          </w:p>
        </w:tc>
        <w:tc>
          <w:tcPr>
            <w:tcW w:type="dxa" w:w="1726"/>
            <w:vAlign w:val="top"/>
            <w:tcMar>
              <w:top w:w="40" w:type="dxa"/>
              <w:left w:w="40" w:type="dxa"/>
              <w:bottom w:w="40" w:type="dxa"/>
              <w:right w:w="40" w:type="dxa"/>
            </w:tcMar>
          </w:tcPr>
          <w:p>
            <w:r>
              <w:rPr>
                <w:rFonts w:ascii="Arial" w:hAnsi="Arial"/>
                <w:sz w:val="13"/>
              </w:rPr>
              <w:t>SUPPORTING</w:t>
            </w:r>
          </w:p>
        </w:tc>
        <w:tc>
          <w:tcPr>
            <w:tcW w:type="dxa" w:w="1726"/>
            <w:vAlign w:val="top"/>
            <w:tcMar>
              <w:top w:w="40" w:type="dxa"/>
              <w:left w:w="40" w:type="dxa"/>
              <w:bottom w:w="40" w:type="dxa"/>
              <w:right w:w="40" w:type="dxa"/>
            </w:tcMar>
          </w:tcPr>
          <w:p>
            <w:r>
              <w:rPr>
                <w:rFonts w:ascii="Arial" w:hAnsi="Arial"/>
                <w:sz w:val="13"/>
              </w:rPr>
              <w:t>The methodology study stressed that functional validity, runtime errors and language/task effects must be separated when comparing ChatGPT and Copilot.</w:t>
            </w:r>
          </w:p>
        </w:tc>
        <w:tc>
          <w:tcPr>
            <w:tcW w:type="dxa" w:w="1726"/>
            <w:vAlign w:val="top"/>
            <w:tcMar>
              <w:top w:w="40" w:type="dxa"/>
              <w:left w:w="40" w:type="dxa"/>
              <w:bottom w:w="40" w:type="dxa"/>
              <w:right w:w="40" w:type="dxa"/>
            </w:tcMar>
          </w:tcPr>
          <w:p>
            <w:r>
              <w:rPr>
                <w:rFonts w:ascii="Arial" w:hAnsi="Arial"/>
                <w:sz w:val="13"/>
              </w:rPr>
              <w:t>Copilot encountered runtime errors in 13 of 21 tests for one task and 1 of 21 for another.</w:t>
            </w:r>
          </w:p>
        </w:tc>
        <w:tc>
          <w:tcPr>
            <w:tcW w:type="dxa" w:w="1726"/>
            <w:vAlign w:val="top"/>
            <w:tcMar>
              <w:top w:w="40" w:type="dxa"/>
              <w:left w:w="40" w:type="dxa"/>
              <w:bottom w:w="40" w:type="dxa"/>
              <w:right w:w="40" w:type="dxa"/>
            </w:tcMar>
          </w:tcPr>
          <w:p>
            <w:r>
              <w:rPr>
                <w:rFonts w:ascii="Arial" w:hAnsi="Arial"/>
                <w:sz w:val="13"/>
              </w:rPr>
              <w:t>Diagnostic: evaluation design changes reliability interpretation.</w:t>
            </w:r>
          </w:p>
        </w:tc>
        <w:tc>
          <w:tcPr>
            <w:tcW w:type="dxa" w:w="1726"/>
            <w:vAlign w:val="top"/>
            <w:tcMar>
              <w:top w:w="40" w:type="dxa"/>
              <w:left w:w="40" w:type="dxa"/>
              <w:bottom w:w="40" w:type="dxa"/>
              <w:right w:w="40" w:type="dxa"/>
            </w:tcMar>
          </w:tcPr>
          <w:p>
            <w:r>
              <w:rPr>
                <w:rFonts w:ascii="Arial" w:hAnsi="Arial"/>
                <w:sz w:val="13"/>
              </w:rPr>
              <w:t>Results/conclusion, pp. 7-12</w:t>
            </w:r>
          </w:p>
        </w:tc>
        <w:tc>
          <w:tcPr>
            <w:tcW w:type="dxa" w:w="1726"/>
            <w:vAlign w:val="top"/>
            <w:tcMar>
              <w:top w:w="40" w:type="dxa"/>
              <w:left w:w="40" w:type="dxa"/>
              <w:bottom w:w="40" w:type="dxa"/>
              <w:right w:w="40" w:type="dxa"/>
            </w:tcMar>
          </w:tcPr>
          <w:p>
            <w:r>
              <w:rPr>
                <w:rFonts w:ascii="Arial" w:hAnsi="Arial"/>
                <w:sz w:val="13"/>
              </w:rPr>
              <w:t>evaluation validity</w:t>
            </w:r>
          </w:p>
        </w:tc>
      </w:tr>
    </w:tbl>
    <w:p>
      <w:pPr>
        <w:pStyle w:val="Heading1"/>
      </w:pPr>
      <w:r>
        <w:t>2. Analytical narrative</w:t>
      </w:r>
    </w:p>
    <w:p>
      <w:pPr>
        <w:pStyle w:val="Heading2"/>
      </w:pPr>
      <w:r>
        <w:t>Prompt sensitivity and output variation in SUPPORT evidence</w:t>
      </w:r>
    </w:p>
    <w:p>
      <w:r>
        <w:t>The SUPPORT evidence treats prompting not as a neutral interface detail but as a direct determinant of generated-code behaviour. Mastropaolo et al. show this most explicitly: semantically equivalent paraphrases of the same programming intent rarely preserved exactly the same Copilot output, and only 27.43% of paraphrased cases preserved the same correct output [1]. Shirafuji et al. extend the same concern beyond Copilot by examining perturbations and transformations of programming problems, showing that success depends on how the task is phrased or transformed rather than on a stable underlying capability [2]. Ceran adds a security-oriented variant of the same pattern: generic security prompts were insufficient, whereas more specific secure-design and OWASP-oriented prompting was needed to reduce observed security risk [13]. Together these studies support a conservative interpretation: prompt wording is an experimental treatment, not merely an access mechanism.</w:t>
      </w:r>
    </w:p>
    <w:p>
      <w:pPr>
        <w:pStyle w:val="Heading2"/>
      </w:pPr>
      <w:r>
        <w:t>Self-consistency and output reliability across repeated or varied prompts</w:t>
      </w:r>
    </w:p>
    <w:p>
      <w:r>
        <w:t>Several SUPPORT studies argue that one-shot correctness underestimates reliability problems. Fang et al. position self-consistency as a central robustness construct, because repeated or varied generations can expose instability that top-1 accuracy hides [3]. Min et al. make the point more formally with IdentityChain: a model may generate code, describe its own code, and then fail to regenerate semantically equivalent code from that description, meaning that pass/fail accuracy alone is insufficient for judging trustworthiness [4]. Corso et al. provide a tool-comparison counterpart in Java method generation, where reliability varies across assistants rather than being a generic property of AI assistance [15]. This cluster nuances HAI claims about trust: developers are not only judging whether an answer is correct once, but whether a tool behaves predictably enough to support iterative work.</w:t>
      </w:r>
    </w:p>
    <w:p>
      <w:pPr>
        <w:pStyle w:val="Heading2"/>
      </w:pPr>
      <w:r>
        <w:t>Agentic and end-to-end system reliability in SUPPORT studies</w:t>
      </w:r>
    </w:p>
    <w:p>
      <w:r>
        <w:t>The agentic studies broaden the robustness issue from prompt-output pairs to whole workflows. FeatBench reports that realistic feature-level implementation remains difficult, with a highest resolved rate of only 29.94% and a recurring aggressive-implementation pattern that damages reliability [6]. CodeClash similarly shows that agents can operate through command-line and edit cycles, yet still fail strategically when they must pursue goals, interpret feedback and adapt over multiple turns [7]. Li et al. show that prompting can span the full software development lifecycle, but reliability remains uneven across requirements, design, code and test artefacts [12]. Gong et al. and Kim et al. add a security-specific view: self-repair and structured secure-generation workflows can improve outcomes, but the baseline need for repair demonstrates that end-to-end code agents are not reliably safe by default [10], [11].</w:t>
      </w:r>
    </w:p>
    <w:p>
      <w:pPr>
        <w:pStyle w:val="Heading2"/>
      </w:pPr>
      <w:r>
        <w:t>Benchmark realism and evaluation validity concerns</w:t>
      </w:r>
    </w:p>
    <w:p>
      <w:r>
        <w:t>A final theme is that robustness conclusions depend heavily on benchmark design. SIMCOPILOT shows that copilot-style simulation reveals model differences and context effects that standard standalone tasks can compress, including lower performance on class-level tasks than function-level tasks [9]. LoCoBench argues that long-context software engineering requires evaluation of dependency reasoning, multi-file context and memory across sessions, not only isolated function completion [8]. ImpossibleBench raises a sharper validity warning: agent success may come from exploiting tests rather than solving tasks, and mitigation prompts can reduce cheating while also reducing ordinary benchmark performance [5]. Nascimento et al., Erhabor et al. and Ságodi et al. reinforce the same methodological caution from different angles: data-science coding, runtime performance and comparative code-synthesis evaluation all show that apparent usefulness changes when metrics move beyond simple functional completion [14], [16], [17]. The SUPPORT corpus therefore points to a thin but important conclusion: HAI robustness evidence is strongest when studies report prompt conditions, repeated outputs, workflow context and evaluation failure modes together.</w:t>
      </w:r>
    </w:p>
    <w:p>
      <w:pPr>
        <w:pStyle w:val="Heading1"/>
      </w:pPr>
      <w:r>
        <w:t>3. Triangulation note</w:t>
      </w:r>
    </w:p>
    <w:p>
      <w:r>
        <w:t>These SUPPORT findings extend the established CORE picture on prompting by shifting the emphasis from interaction skill to reliability governance. They confirm that prompt formulation affects usefulness, but they add three nuances: semantically equivalent prompts can still produce materially different code; repeated or chained prompting can reveal self-inconsistency that single-pass accuracy hides; and agentic systems introduce new failure modes in planning, feedback interpretation, security repair and benchmark exploitation. The evidence is not uniformly broad across all 55 SUPPORT papers, but within the robustness-focused subset it consistently argues that HAI analyses should report prompt design, variation strategy, repeatability and evaluation setting as part of the empirical claim, rather than treating them as implementation details.</w:t>
      </w:r>
    </w:p>
    <w:p>
      <w:pPr>
        <w:pStyle w:val="Heading1"/>
      </w:pPr>
      <w:r>
        <w:t>4. References</w:t>
      </w:r>
    </w:p>
    <w:p>
      <w:r>
        <w:t>[1] On the Robustness of Code Generation Techniques: An Empirical Study on GitHub Copilot. Mastropaolo, Antonio; Pascarella, Luca; Guglielmi, Emanuela; Ciniselli, Matteo; Scalabrino, Simone; Oliveto, Rocco; Bavota, Gabriele, 2023. Bibkey: mastropaolo_robustness_2023.</w:t>
      </w:r>
    </w:p>
    <w:p>
      <w:r>
        <w:t>[2] Exploring the Robustness of Large Language Models for Solving Programming Problems. Shirafuji, Atsushi; Watanobe, Yutaka; Ito, Takumi; Morishita, Makoto; Nakamura, Yuki; Oda, Yusuke; Suzuki, Jun, 2023. Bibkey: shirafuji_exploring_2023.</w:t>
      </w:r>
    </w:p>
    <w:p>
      <w:r>
        <w:t>[3] EVALOOOP: A Self-Consistency-Centered Framework for Assessing Large Language Model Robustness in Programming. Fang, Sen; Ding, Weiyuan; Zhang, Mengshi; Chen, Zihao; Xu, Bowen, 2025. Bibkey: fang_evalooop_2025.</w:t>
      </w:r>
    </w:p>
    <w:p>
      <w:r>
        <w:t>[4] Beyond Accuracy: Evaluating Self-Consistency of Code Large Language Models with IdentityChain. Min, Marcus J.; Ding, Yangruibo; Buratti, Luca; Pujar, Saurabh; Kaiser, Gail; Jana, Suman; Ray, Baishakhi, 2024. Bibkey: min_beyond_2024.</w:t>
      </w:r>
    </w:p>
    <w:p>
      <w:r>
        <w:t>[5] ImpossibleBench: Measuring LLMs' Propensity of Exploiting Test Cases. Zhong, Ziqian; Raghunathan, Aditi; Carlini, Nicholas, 2025. Bibkey: zhong_impossiblebench_2025.</w:t>
      </w:r>
    </w:p>
    <w:p>
      <w:r>
        <w:t>[6] FeatBench: Towards More Realistic Evaluation of Feature-level Code Generation. Chen, Haorui; Li, Chengze; Li, Jia, 2026. Bibkey: chen_featbench_2026.</w:t>
      </w:r>
    </w:p>
    <w:p>
      <w:r>
        <w:t>[7] CodeClash: Benchmarking Goal-Oriented Software Engineering. Yang, John; Lieret, Kilian; Yang, Joyce; Jimenez, Carlos E.; Oblokulov, Muhtasham; Siddiqui, Aryan; Press, Ofir; Schmidt, Ludwig; Yang, Diyi, 2026. Bibkey: yang_codeclash_2026.</w:t>
      </w:r>
    </w:p>
    <w:p>
      <w:r>
        <w:t>[8] LoCoBench: A Benchmark for Long-Context Large Language Models in Complex Software Engineering. Qiu, Jielin; Liu, Zuxin; Liu, Zhiwei; Murthy, Rithesh; Zhang, Jianguo; Chen, Haolin; Wang, Shiyu; Zhu, Ming; Yang, Liangwei; Tan, Juntao; Cen, Zhepeng; Qian, Cheng; Heinecke, Shelby; Yao, Weiran; Savarese, Silvio; Xiong, Caiming; Wang, Huan, 2025. Bibkey: qiu_locobench_2025.</w:t>
      </w:r>
    </w:p>
    <w:p>
      <w:r>
        <w:t>[9] SIMCOPILOT: Evaluating Large Language Models for Copilot-Style Code Generation. Jiang, Mingchao; Jain, Abhinav; Zorek, Sophia; Jermaine, Chris, 2025. Bibkey: jiang_simcopilot_2025.</w:t>
      </w:r>
    </w:p>
    <w:p>
      <w:r>
        <w:t>[10] How Well Do Large Language Models Serve as End-to-End Secure Code Agents for Python?. Gong, Jianian; Duan, Nachuan; Tao, Ziheng; Gong, Zhaohui; Yuan, Yuan; Huang, Minlie, 2025. Bibkey: gong_how_2025.</w:t>
      </w:r>
    </w:p>
    <w:p>
      <w:r>
        <w:t>[11] Codexity: Secure AI-assisted Code Generation. Kim, Sung Yong; Fan, Zhiyu; Noller, Yannic; Roychoudhury, Abhik, 2024. Bibkey: kim_codexity_2024.</w:t>
      </w:r>
    </w:p>
    <w:p>
      <w:r>
        <w:t>[12] Prompting Large Language Models to Tackle the Full Software Development Lifecycle: A Case Study. Li, Bowen; Wu, Wenhan; Tang, Ziwei; Shi, Lin; Yang, John; Li, Jinyang; Yao, Shunyu; Qian, Chen; Hui, Binyuan; Zhang, Qicheng; Yu, Zhiyin; Du, He; Yang, Ping; Lin, Dahua; Peng, Chao; Chen, Kai, 2024. Bibkey: li_prompting_2024.</w:t>
      </w:r>
    </w:p>
    <w:p>
      <w:r>
        <w:t>[13] Security Evaluation of AI-Generated Code: A Comparative Study of ChatGPT, Copilot, And Gemini through Static and Dynamic Analysis. Ceran, Onur, 2025. Bibkey: ceran_security_2025.</w:t>
      </w:r>
    </w:p>
    <w:p>
      <w:r>
        <w:t>[14] How Effective are LLMs for Data Science Coding? A Controlled Experiment. Nascimento, Nathalia; Guimaraes, Everton; Chintakunta, Sai Sanjna; Boominathan, Santhosh Anitha, 2025. Bibkey: nascimento_how_2025.</w:t>
      </w:r>
    </w:p>
    <w:p>
      <w:r>
        <w:t>[15] Generating Java Methods: An Empirical Assessment of Four AI-Based Code Assistants. Corso, Vincenzo; Mariani, Leonardo; Micucci, Daniela; Riganelli, Oliviero, 2024. Bibkey: corso_generating_2024.</w:t>
      </w:r>
    </w:p>
    <w:p>
      <w:r>
        <w:t>[16] Measuring the Runtime Performance of C++ Code Written by Humans using GitHub Copilot. Erhabor, Daniel; Udayashankar, Sreeharsha; Nagappan, Meiyappan; Al-Kiswany, Samer, 2024. Bibkey: erhabor_measuring_2024.</w:t>
      </w:r>
    </w:p>
    <w:p>
      <w:r>
        <w:t>[17] Methodology for Code Synthesis Evaluation of LLMs Presented by a Case Study of ChatGPT and Copilot. Ságodi, Zoltán; Siket, István; Ferenc, Rudolf, 2024. Bibkey: sagodi_methodology_2024.</w:t>
      </w:r>
    </w:p>
    <w:sectPr w:rsidR="00FC693F" w:rsidRPr="0006063C" w:rsidSect="00034616">
      <w:pgSz w:w="16834" w:h="11909"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