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Phase 2.1 — NB4 HAI SUPPORT: Cross-cutting Synthesis across Prompting, Workflow, and Robustness</w:t>
      </w:r>
    </w:p>
    <w:p>
      <w:r>
        <w:t>Scope: this artefact uses only Phase 1.1, Phase 1.2 and Phase 1.6 NB4_HAI_SUPPORT evidence. Bibkeys were verified against NB4_HAI_Support.bib; tiers and segments were checked in Relación de Estudios.xlsx; reference metadata were taken from NB4_HAI_Support.csv via the Zotero key mapping. REMOVE_CANDIDATE papers are not cited.</w:t>
      </w:r>
    </w:p>
    <w:p>
      <w:pPr>
        <w:pStyle w:val="Heading1"/>
      </w:pPr>
      <w:r>
        <w:t>1. Cross-cutting evidence matrix</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top"/>
          </w:tcPr>
          <w:p>
            <w:r>
              <w:rPr>
                <w:sz w:val="14"/>
              </w:rPr>
              <w:t>Bibkey</w:t>
            </w:r>
          </w:p>
        </w:tc>
        <w:tc>
          <w:tcPr>
            <w:tcW w:type="dxa" w:w="1776"/>
            <w:vAlign w:val="top"/>
          </w:tcPr>
          <w:p>
            <w:r>
              <w:rPr>
                <w:sz w:val="14"/>
              </w:rPr>
              <w:t>Quality tier</w:t>
            </w:r>
          </w:p>
        </w:tc>
        <w:tc>
          <w:tcPr>
            <w:tcW w:type="dxa" w:w="1776"/>
            <w:vAlign w:val="top"/>
          </w:tcPr>
          <w:p>
            <w:r>
              <w:rPr>
                <w:sz w:val="14"/>
              </w:rPr>
              <w:t>Segment</w:t>
            </w:r>
          </w:p>
        </w:tc>
        <w:tc>
          <w:tcPr>
            <w:tcW w:type="dxa" w:w="1776"/>
            <w:vAlign w:val="top"/>
          </w:tcPr>
          <w:p>
            <w:r>
              <w:rPr>
                <w:sz w:val="14"/>
              </w:rPr>
              <w:t>Finding</w:t>
            </w:r>
          </w:p>
        </w:tc>
        <w:tc>
          <w:tcPr>
            <w:tcW w:type="dxa" w:w="1776"/>
            <w:vAlign w:val="top"/>
          </w:tcPr>
          <w:p>
            <w:r>
              <w:rPr>
                <w:sz w:val="14"/>
              </w:rPr>
              <w:t>Sub-topics it appears in</w:t>
            </w:r>
          </w:p>
        </w:tc>
        <w:tc>
          <w:tcPr>
            <w:tcW w:type="dxa" w:w="1776"/>
            <w:vAlign w:val="top"/>
          </w:tcPr>
          <w:p>
            <w:r>
              <w:rPr>
                <w:sz w:val="14"/>
              </w:rPr>
              <w:t>Convergence type</w:t>
            </w:r>
          </w:p>
        </w:tc>
      </w:tr>
      <w:tr>
        <w:tc>
          <w:tcPr>
            <w:tcW w:type="dxa" w:w="1776"/>
            <w:vAlign w:val="top"/>
          </w:tcPr>
          <w:p>
            <w:r>
              <w:rPr>
                <w:sz w:val="14"/>
              </w:rPr>
              <w:t>mastropaolo_robustness_2023</w:t>
            </w:r>
          </w:p>
        </w:tc>
        <w:tc>
          <w:tcPr>
            <w:tcW w:type="dxa" w:w="1776"/>
            <w:vAlign w:val="top"/>
          </w:tcPr>
          <w:p>
            <w:r>
              <w:rPr>
                <w:sz w:val="14"/>
              </w:rPr>
              <w:t>A2</w:t>
            </w:r>
          </w:p>
        </w:tc>
        <w:tc>
          <w:tcPr>
            <w:tcW w:type="dxa" w:w="1776"/>
            <w:vAlign w:val="top"/>
          </w:tcPr>
          <w:p>
            <w:r>
              <w:rPr>
                <w:sz w:val="14"/>
              </w:rPr>
              <w:t>SUPPORTING</w:t>
            </w:r>
          </w:p>
        </w:tc>
        <w:tc>
          <w:tcPr>
            <w:tcW w:type="dxa" w:w="1776"/>
            <w:vAlign w:val="top"/>
          </w:tcPr>
          <w:p>
            <w:r>
              <w:rPr>
                <w:sz w:val="14"/>
              </w:rPr>
              <w:t>Semantically equivalent paraphrases changed Copilot outputs; only 27.43% preserved the same correct output, making prompt wording a reliability condition rather than surface phrasing.</w:t>
            </w:r>
          </w:p>
        </w:tc>
        <w:tc>
          <w:tcPr>
            <w:tcW w:type="dxa" w:w="1776"/>
            <w:vAlign w:val="top"/>
          </w:tcPr>
          <w:p>
            <w:r>
              <w:rPr>
                <w:sz w:val="14"/>
              </w:rPr>
              <w:t>1.1, 1.6</w:t>
            </w:r>
          </w:p>
        </w:tc>
        <w:tc>
          <w:tcPr>
            <w:tcW w:type="dxa" w:w="1776"/>
            <w:vAlign w:val="top"/>
          </w:tcPr>
          <w:p>
            <w:r>
              <w:rPr>
                <w:sz w:val="14"/>
              </w:rPr>
              <w:t>Replication</w:t>
            </w:r>
          </w:p>
        </w:tc>
      </w:tr>
      <w:tr>
        <w:tc>
          <w:tcPr>
            <w:tcW w:type="dxa" w:w="1776"/>
            <w:vAlign w:val="top"/>
          </w:tcPr>
          <w:p>
            <w:r>
              <w:rPr>
                <w:sz w:val="14"/>
              </w:rPr>
              <w:t>shirafuji_exploring_2023</w:t>
            </w:r>
          </w:p>
        </w:tc>
        <w:tc>
          <w:tcPr>
            <w:tcW w:type="dxa" w:w="1776"/>
            <w:vAlign w:val="top"/>
          </w:tcPr>
          <w:p>
            <w:r>
              <w:rPr>
                <w:sz w:val="14"/>
              </w:rPr>
              <w:t>A1</w:t>
            </w:r>
          </w:p>
        </w:tc>
        <w:tc>
          <w:tcPr>
            <w:tcW w:type="dxa" w:w="1776"/>
            <w:vAlign w:val="top"/>
          </w:tcPr>
          <w:p>
            <w:r>
              <w:rPr>
                <w:sz w:val="14"/>
              </w:rPr>
              <w:t>SUPPORTING</w:t>
            </w:r>
          </w:p>
        </w:tc>
        <w:tc>
          <w:tcPr>
            <w:tcW w:type="dxa" w:w="1776"/>
            <w:vAlign w:val="top"/>
          </w:tcPr>
          <w:p>
            <w:r>
              <w:rPr>
                <w:sz w:val="14"/>
              </w:rPr>
              <w:t>Programming performance varied under prompt perturbations and superficial transformations, linking prompt presentation to workflow-level checking needs.</w:t>
            </w:r>
          </w:p>
        </w:tc>
        <w:tc>
          <w:tcPr>
            <w:tcW w:type="dxa" w:w="1776"/>
            <w:vAlign w:val="top"/>
          </w:tcPr>
          <w:p>
            <w:r>
              <w:rPr>
                <w:sz w:val="14"/>
              </w:rPr>
              <w:t>1.1, 1.2, 1.6</w:t>
            </w:r>
          </w:p>
        </w:tc>
        <w:tc>
          <w:tcPr>
            <w:tcW w:type="dxa" w:w="1776"/>
            <w:vAlign w:val="top"/>
          </w:tcPr>
          <w:p>
            <w:r>
              <w:rPr>
                <w:sz w:val="14"/>
              </w:rPr>
              <w:t>Replication</w:t>
            </w:r>
          </w:p>
        </w:tc>
      </w:tr>
      <w:tr>
        <w:tc>
          <w:tcPr>
            <w:tcW w:type="dxa" w:w="1776"/>
            <w:vAlign w:val="top"/>
          </w:tcPr>
          <w:p>
            <w:r>
              <w:rPr>
                <w:sz w:val="14"/>
              </w:rPr>
              <w:t>ceran_security_2025</w:t>
            </w:r>
          </w:p>
        </w:tc>
        <w:tc>
          <w:tcPr>
            <w:tcW w:type="dxa" w:w="1776"/>
            <w:vAlign w:val="top"/>
          </w:tcPr>
          <w:p>
            <w:r>
              <w:rPr>
                <w:sz w:val="14"/>
              </w:rPr>
              <w:t>A1</w:t>
            </w:r>
          </w:p>
        </w:tc>
        <w:tc>
          <w:tcPr>
            <w:tcW w:type="dxa" w:w="1776"/>
            <w:vAlign w:val="top"/>
          </w:tcPr>
          <w:p>
            <w:r>
              <w:rPr>
                <w:sz w:val="14"/>
              </w:rPr>
              <w:t>SUPPORTING</w:t>
            </w:r>
          </w:p>
        </w:tc>
        <w:tc>
          <w:tcPr>
            <w:tcW w:type="dxa" w:w="1776"/>
            <w:vAlign w:val="top"/>
          </w:tcPr>
          <w:p>
            <w:r>
              <w:rPr>
                <w:sz w:val="14"/>
              </w:rPr>
              <w:t>Generic security prompts were insufficient; secure-design and OWASP-oriented prompting was needed when generated code was assessed for vulnerabilities.</w:t>
            </w:r>
          </w:p>
        </w:tc>
        <w:tc>
          <w:tcPr>
            <w:tcW w:type="dxa" w:w="1776"/>
            <w:vAlign w:val="top"/>
          </w:tcPr>
          <w:p>
            <w:r>
              <w:rPr>
                <w:sz w:val="14"/>
              </w:rPr>
              <w:t>1.1, 1.6</w:t>
            </w:r>
          </w:p>
        </w:tc>
        <w:tc>
          <w:tcPr>
            <w:tcW w:type="dxa" w:w="1776"/>
            <w:vAlign w:val="top"/>
          </w:tcPr>
          <w:p>
            <w:r>
              <w:rPr>
                <w:sz w:val="14"/>
              </w:rPr>
              <w:t>Extension</w:t>
            </w:r>
          </w:p>
        </w:tc>
      </w:tr>
      <w:tr>
        <w:tc>
          <w:tcPr>
            <w:tcW w:type="dxa" w:w="1776"/>
            <w:vAlign w:val="top"/>
          </w:tcPr>
          <w:p>
            <w:r>
              <w:rPr>
                <w:sz w:val="14"/>
              </w:rPr>
              <w:t>jiang_simcopilot_2025</w:t>
            </w:r>
          </w:p>
        </w:tc>
        <w:tc>
          <w:tcPr>
            <w:tcW w:type="dxa" w:w="1776"/>
            <w:vAlign w:val="top"/>
          </w:tcPr>
          <w:p>
            <w:r>
              <w:rPr>
                <w:sz w:val="14"/>
              </w:rPr>
              <w:t>A1</w:t>
            </w:r>
          </w:p>
        </w:tc>
        <w:tc>
          <w:tcPr>
            <w:tcW w:type="dxa" w:w="1776"/>
            <w:vAlign w:val="top"/>
          </w:tcPr>
          <w:p>
            <w:r>
              <w:rPr>
                <w:sz w:val="14"/>
              </w:rPr>
              <w:t>SUPPORTING</w:t>
            </w:r>
          </w:p>
        </w:tc>
        <w:tc>
          <w:tcPr>
            <w:tcW w:type="dxa" w:w="1776"/>
            <w:vAlign w:val="top"/>
          </w:tcPr>
          <w:p>
            <w:r>
              <w:rPr>
                <w:sz w:val="14"/>
              </w:rPr>
              <w:t>Copilot-style reliability changed with simulated completion context, showing that evaluation and interaction depend on the code context supplied to the assistant.</w:t>
            </w:r>
          </w:p>
        </w:tc>
        <w:tc>
          <w:tcPr>
            <w:tcW w:type="dxa" w:w="1776"/>
            <w:vAlign w:val="top"/>
          </w:tcPr>
          <w:p>
            <w:r>
              <w:rPr>
                <w:sz w:val="14"/>
              </w:rPr>
              <w:t>1.1, 1.6</w:t>
            </w:r>
          </w:p>
        </w:tc>
        <w:tc>
          <w:tcPr>
            <w:tcW w:type="dxa" w:w="1776"/>
            <w:vAlign w:val="top"/>
          </w:tcPr>
          <w:p>
            <w:r>
              <w:rPr>
                <w:sz w:val="14"/>
              </w:rPr>
              <w:t>Extension</w:t>
            </w:r>
          </w:p>
        </w:tc>
      </w:tr>
      <w:tr>
        <w:tc>
          <w:tcPr>
            <w:tcW w:type="dxa" w:w="1776"/>
            <w:vAlign w:val="top"/>
          </w:tcPr>
          <w:p>
            <w:r>
              <w:rPr>
                <w:sz w:val="14"/>
              </w:rPr>
              <w:t>li_prompting_2024</w:t>
            </w:r>
          </w:p>
        </w:tc>
        <w:tc>
          <w:tcPr>
            <w:tcW w:type="dxa" w:w="1776"/>
            <w:vAlign w:val="top"/>
          </w:tcPr>
          <w:p>
            <w:r>
              <w:rPr>
                <w:sz w:val="14"/>
              </w:rPr>
              <w:t>A1</w:t>
            </w:r>
          </w:p>
        </w:tc>
        <w:tc>
          <w:tcPr>
            <w:tcW w:type="dxa" w:w="1776"/>
            <w:vAlign w:val="top"/>
          </w:tcPr>
          <w:p>
            <w:r>
              <w:rPr>
                <w:sz w:val="14"/>
              </w:rPr>
              <w:t>SUPPORTING</w:t>
            </w:r>
          </w:p>
        </w:tc>
        <w:tc>
          <w:tcPr>
            <w:tcW w:type="dxa" w:w="1776"/>
            <w:vAlign w:val="top"/>
          </w:tcPr>
          <w:p>
            <w:r>
              <w:rPr>
                <w:sz w:val="14"/>
              </w:rPr>
              <w:t>Full-SDLC prompting required phase-specific prompts across requirements, design, coding, testing and documentation, but reliability remained uneven across artefacts.</w:t>
            </w:r>
          </w:p>
        </w:tc>
        <w:tc>
          <w:tcPr>
            <w:tcW w:type="dxa" w:w="1776"/>
            <w:vAlign w:val="top"/>
          </w:tcPr>
          <w:p>
            <w:r>
              <w:rPr>
                <w:sz w:val="14"/>
              </w:rPr>
              <w:t>1.1, 1.6</w:t>
            </w:r>
          </w:p>
        </w:tc>
        <w:tc>
          <w:tcPr>
            <w:tcW w:type="dxa" w:w="1776"/>
            <w:vAlign w:val="top"/>
          </w:tcPr>
          <w:p>
            <w:r>
              <w:rPr>
                <w:sz w:val="14"/>
              </w:rPr>
              <w:t>Tension</w:t>
            </w:r>
          </w:p>
        </w:tc>
      </w:tr>
      <w:tr>
        <w:tc>
          <w:tcPr>
            <w:tcW w:type="dxa" w:w="1776"/>
            <w:vAlign w:val="top"/>
          </w:tcPr>
          <w:p>
            <w:r>
              <w:rPr>
                <w:sz w:val="14"/>
              </w:rPr>
              <w:t>waseem_chatgpt_2024</w:t>
            </w:r>
          </w:p>
        </w:tc>
        <w:tc>
          <w:tcPr>
            <w:tcW w:type="dxa" w:w="1776"/>
            <w:vAlign w:val="top"/>
          </w:tcPr>
          <w:p>
            <w:r>
              <w:rPr>
                <w:sz w:val="14"/>
              </w:rPr>
              <w:t>A2</w:t>
            </w:r>
          </w:p>
        </w:tc>
        <w:tc>
          <w:tcPr>
            <w:tcW w:type="dxa" w:w="1776"/>
            <w:vAlign w:val="top"/>
          </w:tcPr>
          <w:p>
            <w:r>
              <w:rPr>
                <w:sz w:val="14"/>
              </w:rPr>
              <w:t>SUPPORTING</w:t>
            </w:r>
          </w:p>
        </w:tc>
        <w:tc>
          <w:tcPr>
            <w:tcW w:type="dxa" w:w="1776"/>
            <w:vAlign w:val="top"/>
          </w:tcPr>
          <w:p>
            <w:r>
              <w:rPr>
                <w:sz w:val="14"/>
              </w:rPr>
              <w:t>Project-based ChatGPT use depended on conversational decomposition, follow-up steering and verification rather than single-turn generation.</w:t>
            </w:r>
          </w:p>
        </w:tc>
        <w:tc>
          <w:tcPr>
            <w:tcW w:type="dxa" w:w="1776"/>
            <w:vAlign w:val="top"/>
          </w:tcPr>
          <w:p>
            <w:r>
              <w:rPr>
                <w:sz w:val="14"/>
              </w:rPr>
              <w:t>1.1, 1.2</w:t>
            </w:r>
          </w:p>
        </w:tc>
        <w:tc>
          <w:tcPr>
            <w:tcW w:type="dxa" w:w="1776"/>
            <w:vAlign w:val="top"/>
          </w:tcPr>
          <w:p>
            <w:r>
              <w:rPr>
                <w:sz w:val="14"/>
              </w:rPr>
              <w:t>Replication</w:t>
            </w:r>
          </w:p>
        </w:tc>
      </w:tr>
      <w:tr>
        <w:tc>
          <w:tcPr>
            <w:tcW w:type="dxa" w:w="1776"/>
            <w:vAlign w:val="top"/>
          </w:tcPr>
          <w:p>
            <w:r>
              <w:rPr>
                <w:sz w:val="14"/>
              </w:rPr>
              <w:t>fayed_prompt-driven_2026</w:t>
            </w:r>
          </w:p>
        </w:tc>
        <w:tc>
          <w:tcPr>
            <w:tcW w:type="dxa" w:w="1776"/>
            <w:vAlign w:val="top"/>
          </w:tcPr>
          <w:p>
            <w:r>
              <w:rPr>
                <w:sz w:val="14"/>
              </w:rPr>
              <w:t>A2</w:t>
            </w:r>
          </w:p>
        </w:tc>
        <w:tc>
          <w:tcPr>
            <w:tcW w:type="dxa" w:w="1776"/>
            <w:vAlign w:val="top"/>
          </w:tcPr>
          <w:p>
            <w:r>
              <w:rPr>
                <w:sz w:val="14"/>
              </w:rPr>
              <w:t>SUPPORTING</w:t>
            </w:r>
          </w:p>
        </w:tc>
        <w:tc>
          <w:tcPr>
            <w:tcW w:type="dxa" w:w="1776"/>
            <w:vAlign w:val="top"/>
          </w:tcPr>
          <w:p>
            <w:r>
              <w:rPr>
                <w:sz w:val="14"/>
              </w:rPr>
              <w:t>Prompt-driven development with Claude Code turned implementation into cycles of prompts, generated artefacts, inspection and corrective feedback.</w:t>
            </w:r>
          </w:p>
        </w:tc>
        <w:tc>
          <w:tcPr>
            <w:tcW w:type="dxa" w:w="1776"/>
            <w:vAlign w:val="top"/>
          </w:tcPr>
          <w:p>
            <w:r>
              <w:rPr>
                <w:sz w:val="14"/>
              </w:rPr>
              <w:t>1.1, 1.2</w:t>
            </w:r>
          </w:p>
        </w:tc>
        <w:tc>
          <w:tcPr>
            <w:tcW w:type="dxa" w:w="1776"/>
            <w:vAlign w:val="top"/>
          </w:tcPr>
          <w:p>
            <w:r>
              <w:rPr>
                <w:sz w:val="14"/>
              </w:rPr>
              <w:t>Extension</w:t>
            </w:r>
          </w:p>
        </w:tc>
      </w:tr>
      <w:tr>
        <w:tc>
          <w:tcPr>
            <w:tcW w:type="dxa" w:w="1776"/>
            <w:vAlign w:val="top"/>
          </w:tcPr>
          <w:p>
            <w:r>
              <w:rPr>
                <w:sz w:val="14"/>
              </w:rPr>
              <w:t>xu_-ide_2022</w:t>
            </w:r>
          </w:p>
        </w:tc>
        <w:tc>
          <w:tcPr>
            <w:tcW w:type="dxa" w:w="1776"/>
            <w:vAlign w:val="top"/>
          </w:tcPr>
          <w:p>
            <w:r>
              <w:rPr>
                <w:sz w:val="14"/>
              </w:rPr>
              <w:t>A2</w:t>
            </w:r>
          </w:p>
        </w:tc>
        <w:tc>
          <w:tcPr>
            <w:tcW w:type="dxa" w:w="1776"/>
            <w:vAlign w:val="top"/>
          </w:tcPr>
          <w:p>
            <w:r>
              <w:rPr>
                <w:sz w:val="14"/>
              </w:rPr>
              <w:t>SUPPORTING</w:t>
            </w:r>
          </w:p>
        </w:tc>
        <w:tc>
          <w:tcPr>
            <w:tcW w:type="dxa" w:w="1776"/>
            <w:vAlign w:val="top"/>
          </w:tcPr>
          <w:p>
            <w:r>
              <w:rPr>
                <w:sz w:val="14"/>
              </w:rPr>
              <w:t>In-IDE natural-language generation exposed query formulation as a usability barrier and required inspection, adaptation and validation of generated code.</w:t>
            </w:r>
          </w:p>
        </w:tc>
        <w:tc>
          <w:tcPr>
            <w:tcW w:type="dxa" w:w="1776"/>
            <w:vAlign w:val="top"/>
          </w:tcPr>
          <w:p>
            <w:r>
              <w:rPr>
                <w:sz w:val="14"/>
              </w:rPr>
              <w:t>1.1, 1.2</w:t>
            </w:r>
          </w:p>
        </w:tc>
        <w:tc>
          <w:tcPr>
            <w:tcW w:type="dxa" w:w="1776"/>
            <w:vAlign w:val="top"/>
          </w:tcPr>
          <w:p>
            <w:r>
              <w:rPr>
                <w:sz w:val="14"/>
              </w:rPr>
              <w:t>Replication</w:t>
            </w:r>
          </w:p>
        </w:tc>
      </w:tr>
      <w:tr>
        <w:tc>
          <w:tcPr>
            <w:tcW w:type="dxa" w:w="1776"/>
            <w:vAlign w:val="top"/>
          </w:tcPr>
          <w:p>
            <w:r>
              <w:rPr>
                <w:sz w:val="14"/>
              </w:rPr>
              <w:t>dakhel_github_2023</w:t>
            </w:r>
          </w:p>
        </w:tc>
        <w:tc>
          <w:tcPr>
            <w:tcW w:type="dxa" w:w="1776"/>
            <w:vAlign w:val="top"/>
          </w:tcPr>
          <w:p>
            <w:r>
              <w:rPr>
                <w:sz w:val="14"/>
              </w:rPr>
              <w:t>A2</w:t>
            </w:r>
          </w:p>
        </w:tc>
        <w:tc>
          <w:tcPr>
            <w:tcW w:type="dxa" w:w="1776"/>
            <w:vAlign w:val="top"/>
          </w:tcPr>
          <w:p>
            <w:r>
              <w:rPr>
                <w:sz w:val="14"/>
              </w:rPr>
              <w:t>SUPPORTING</w:t>
            </w:r>
          </w:p>
        </w:tc>
        <w:tc>
          <w:tcPr>
            <w:tcW w:type="dxa" w:w="1776"/>
            <w:vAlign w:val="top"/>
          </w:tcPr>
          <w:p>
            <w:r>
              <w:rPr>
                <w:sz w:val="14"/>
              </w:rPr>
              <w:t>Copilot was useful across tasks, but outputs still required checking for correctness, performance and maintainability before acceptance.</w:t>
            </w:r>
          </w:p>
        </w:tc>
        <w:tc>
          <w:tcPr>
            <w:tcW w:type="dxa" w:w="1776"/>
            <w:vAlign w:val="top"/>
          </w:tcPr>
          <w:p>
            <w:r>
              <w:rPr>
                <w:sz w:val="14"/>
              </w:rPr>
              <w:t>1.1, 1.2</w:t>
            </w:r>
          </w:p>
        </w:tc>
        <w:tc>
          <w:tcPr>
            <w:tcW w:type="dxa" w:w="1776"/>
            <w:vAlign w:val="top"/>
          </w:tcPr>
          <w:p>
            <w:r>
              <w:rPr>
                <w:sz w:val="14"/>
              </w:rPr>
              <w:t>Replication</w:t>
            </w:r>
          </w:p>
        </w:tc>
      </w:tr>
      <w:tr>
        <w:tc>
          <w:tcPr>
            <w:tcW w:type="dxa" w:w="1776"/>
            <w:vAlign w:val="top"/>
          </w:tcPr>
          <w:p>
            <w:r>
              <w:rPr>
                <w:sz w:val="14"/>
              </w:rPr>
              <w:t>eibl_exploring_2025</w:t>
            </w:r>
          </w:p>
        </w:tc>
        <w:tc>
          <w:tcPr>
            <w:tcW w:type="dxa" w:w="1776"/>
            <w:vAlign w:val="top"/>
          </w:tcPr>
          <w:p>
            <w:r>
              <w:rPr>
                <w:sz w:val="14"/>
              </w:rPr>
              <w:t>A2</w:t>
            </w:r>
          </w:p>
        </w:tc>
        <w:tc>
          <w:tcPr>
            <w:tcW w:type="dxa" w:w="1776"/>
            <w:vAlign w:val="top"/>
          </w:tcPr>
          <w:p>
            <w:r>
              <w:rPr>
                <w:sz w:val="14"/>
              </w:rPr>
              <w:t>SUPPORTING</w:t>
            </w:r>
          </w:p>
        </w:tc>
        <w:tc>
          <w:tcPr>
            <w:tcW w:type="dxa" w:w="1776"/>
            <w:vAlign w:val="top"/>
          </w:tcPr>
          <w:p>
            <w:r>
              <w:rPr>
                <w:sz w:val="14"/>
              </w:rPr>
              <w:t>AI-assisted codebase generation expanded prompts to architectural intent, where context accumulation and integration problems became central interaction issues.</w:t>
            </w:r>
          </w:p>
        </w:tc>
        <w:tc>
          <w:tcPr>
            <w:tcW w:type="dxa" w:w="1776"/>
            <w:vAlign w:val="top"/>
          </w:tcPr>
          <w:p>
            <w:r>
              <w:rPr>
                <w:sz w:val="14"/>
              </w:rPr>
              <w:t>1.1, 1.2</w:t>
            </w:r>
          </w:p>
        </w:tc>
        <w:tc>
          <w:tcPr>
            <w:tcW w:type="dxa" w:w="1776"/>
            <w:vAlign w:val="top"/>
          </w:tcPr>
          <w:p>
            <w:r>
              <w:rPr>
                <w:sz w:val="14"/>
              </w:rPr>
              <w:t>Extension</w:t>
            </w:r>
          </w:p>
        </w:tc>
      </w:tr>
      <w:tr>
        <w:tc>
          <w:tcPr>
            <w:tcW w:type="dxa" w:w="1776"/>
            <w:vAlign w:val="top"/>
          </w:tcPr>
          <w:p>
            <w:r>
              <w:rPr>
                <w:sz w:val="14"/>
              </w:rPr>
              <w:t>jin_can_2024</w:t>
            </w:r>
          </w:p>
        </w:tc>
        <w:tc>
          <w:tcPr>
            <w:tcW w:type="dxa" w:w="1776"/>
            <w:vAlign w:val="top"/>
          </w:tcPr>
          <w:p>
            <w:r>
              <w:rPr>
                <w:sz w:val="14"/>
              </w:rPr>
              <w:t>A1</w:t>
            </w:r>
          </w:p>
        </w:tc>
        <w:tc>
          <w:tcPr>
            <w:tcW w:type="dxa" w:w="1776"/>
            <w:vAlign w:val="top"/>
          </w:tcPr>
          <w:p>
            <w:r>
              <w:rPr>
                <w:sz w:val="14"/>
              </w:rPr>
              <w:t>SUPPORTING</w:t>
            </w:r>
          </w:p>
        </w:tc>
        <w:tc>
          <w:tcPr>
            <w:tcW w:type="dxa" w:w="1776"/>
            <w:vAlign w:val="top"/>
          </w:tcPr>
          <w:p>
            <w:r>
              <w:rPr>
                <w:sz w:val="14"/>
              </w:rPr>
              <w:t>ChatGPT support was uneven across code-generation tasks, so developers had to refine prompts and inspect answers rather than accept the first response.</w:t>
            </w:r>
          </w:p>
        </w:tc>
        <w:tc>
          <w:tcPr>
            <w:tcW w:type="dxa" w:w="1776"/>
            <w:vAlign w:val="top"/>
          </w:tcPr>
          <w:p>
            <w:r>
              <w:rPr>
                <w:sz w:val="14"/>
              </w:rPr>
              <w:t>1.1, 1.2</w:t>
            </w:r>
          </w:p>
        </w:tc>
        <w:tc>
          <w:tcPr>
            <w:tcW w:type="dxa" w:w="1776"/>
            <w:vAlign w:val="top"/>
          </w:tcPr>
          <w:p>
            <w:r>
              <w:rPr>
                <w:sz w:val="14"/>
              </w:rPr>
              <w:t>Replication</w:t>
            </w:r>
          </w:p>
        </w:tc>
      </w:tr>
      <w:tr>
        <w:tc>
          <w:tcPr>
            <w:tcW w:type="dxa" w:w="1776"/>
            <w:vAlign w:val="top"/>
          </w:tcPr>
          <w:p>
            <w:r>
              <w:rPr>
                <w:sz w:val="14"/>
              </w:rPr>
              <w:t>min_beyond_2024</w:t>
            </w:r>
          </w:p>
        </w:tc>
        <w:tc>
          <w:tcPr>
            <w:tcW w:type="dxa" w:w="1776"/>
            <w:vAlign w:val="top"/>
          </w:tcPr>
          <w:p>
            <w:r>
              <w:rPr>
                <w:sz w:val="14"/>
              </w:rPr>
              <w:t>A1</w:t>
            </w:r>
          </w:p>
        </w:tc>
        <w:tc>
          <w:tcPr>
            <w:tcW w:type="dxa" w:w="1776"/>
            <w:vAlign w:val="top"/>
          </w:tcPr>
          <w:p>
            <w:r>
              <w:rPr>
                <w:sz w:val="14"/>
              </w:rPr>
              <w:t>SUPPORTING</w:t>
            </w:r>
          </w:p>
        </w:tc>
        <w:tc>
          <w:tcPr>
            <w:tcW w:type="dxa" w:w="1776"/>
            <w:vAlign w:val="top"/>
          </w:tcPr>
          <w:p>
            <w:r>
              <w:rPr>
                <w:sz w:val="14"/>
              </w:rPr>
              <w:t>Self-consistency evidence showed that plausible or once-correct outputs may fail across chained regeneration tasks, complicating trust in iterative workflows.</w:t>
            </w:r>
          </w:p>
        </w:tc>
        <w:tc>
          <w:tcPr>
            <w:tcW w:type="dxa" w:w="1776"/>
            <w:vAlign w:val="top"/>
          </w:tcPr>
          <w:p>
            <w:r>
              <w:rPr>
                <w:sz w:val="14"/>
              </w:rPr>
              <w:t>1.2, 1.6</w:t>
            </w:r>
          </w:p>
        </w:tc>
        <w:tc>
          <w:tcPr>
            <w:tcW w:type="dxa" w:w="1776"/>
            <w:vAlign w:val="top"/>
          </w:tcPr>
          <w:p>
            <w:r>
              <w:rPr>
                <w:sz w:val="14"/>
              </w:rPr>
              <w:t>Extension</w:t>
            </w:r>
          </w:p>
        </w:tc>
      </w:tr>
      <w:tr>
        <w:tc>
          <w:tcPr>
            <w:tcW w:type="dxa" w:w="1776"/>
            <w:vAlign w:val="top"/>
          </w:tcPr>
          <w:p>
            <w:r>
              <w:rPr>
                <w:sz w:val="14"/>
              </w:rPr>
              <w:t>qiu_locobench_2025</w:t>
            </w:r>
          </w:p>
        </w:tc>
        <w:tc>
          <w:tcPr>
            <w:tcW w:type="dxa" w:w="1776"/>
            <w:vAlign w:val="top"/>
          </w:tcPr>
          <w:p>
            <w:r>
              <w:rPr>
                <w:sz w:val="14"/>
              </w:rPr>
              <w:t>A2</w:t>
            </w:r>
          </w:p>
        </w:tc>
        <w:tc>
          <w:tcPr>
            <w:tcW w:type="dxa" w:w="1776"/>
            <w:vAlign w:val="top"/>
          </w:tcPr>
          <w:p>
            <w:r>
              <w:rPr>
                <w:sz w:val="14"/>
              </w:rPr>
              <w:t>SUPPORTING</w:t>
            </w:r>
          </w:p>
        </w:tc>
        <w:tc>
          <w:tcPr>
            <w:tcW w:type="dxa" w:w="1776"/>
            <w:vAlign w:val="top"/>
          </w:tcPr>
          <w:p>
            <w:r>
              <w:rPr>
                <w:sz w:val="14"/>
              </w:rPr>
              <w:t>Long-context benchmarks showed that project-level interaction requires dependency reasoning, multi-file context and session memory rather than isolated snippet completion.</w:t>
            </w:r>
          </w:p>
        </w:tc>
        <w:tc>
          <w:tcPr>
            <w:tcW w:type="dxa" w:w="1776"/>
            <w:vAlign w:val="top"/>
          </w:tcPr>
          <w:p>
            <w:r>
              <w:rPr>
                <w:sz w:val="14"/>
              </w:rPr>
              <w:t>1.2, 1.6</w:t>
            </w:r>
          </w:p>
        </w:tc>
        <w:tc>
          <w:tcPr>
            <w:tcW w:type="dxa" w:w="1776"/>
            <w:vAlign w:val="top"/>
          </w:tcPr>
          <w:p>
            <w:r>
              <w:rPr>
                <w:sz w:val="14"/>
              </w:rPr>
              <w:t>Extension</w:t>
            </w:r>
          </w:p>
        </w:tc>
      </w:tr>
      <w:tr>
        <w:tc>
          <w:tcPr>
            <w:tcW w:type="dxa" w:w="1776"/>
            <w:vAlign w:val="top"/>
          </w:tcPr>
          <w:p>
            <w:r>
              <w:rPr>
                <w:sz w:val="14"/>
              </w:rPr>
              <w:t>erhabor_measuring_2024</w:t>
            </w:r>
          </w:p>
        </w:tc>
        <w:tc>
          <w:tcPr>
            <w:tcW w:type="dxa" w:w="1776"/>
            <w:vAlign w:val="top"/>
          </w:tcPr>
          <w:p>
            <w:r>
              <w:rPr>
                <w:sz w:val="14"/>
              </w:rPr>
              <w:t>A2</w:t>
            </w:r>
          </w:p>
        </w:tc>
        <w:tc>
          <w:tcPr>
            <w:tcW w:type="dxa" w:w="1776"/>
            <w:vAlign w:val="top"/>
          </w:tcPr>
          <w:p>
            <w:r>
              <w:rPr>
                <w:sz w:val="14"/>
              </w:rPr>
              <w:t>SUPPORTING</w:t>
            </w:r>
          </w:p>
        </w:tc>
        <w:tc>
          <w:tcPr>
            <w:tcW w:type="dxa" w:w="1776"/>
            <w:vAlign w:val="top"/>
          </w:tcPr>
          <w:p>
            <w:r>
              <w:rPr>
                <w:sz w:val="14"/>
              </w:rPr>
              <w:t>Copilot-assisted C++ work could produce statistically slower code, making non-functional validation part of workflow integration.</w:t>
            </w:r>
          </w:p>
        </w:tc>
        <w:tc>
          <w:tcPr>
            <w:tcW w:type="dxa" w:w="1776"/>
            <w:vAlign w:val="top"/>
          </w:tcPr>
          <w:p>
            <w:r>
              <w:rPr>
                <w:sz w:val="14"/>
              </w:rPr>
              <w:t>1.2, 1.6</w:t>
            </w:r>
          </w:p>
        </w:tc>
        <w:tc>
          <w:tcPr>
            <w:tcW w:type="dxa" w:w="1776"/>
            <w:vAlign w:val="top"/>
          </w:tcPr>
          <w:p>
            <w:r>
              <w:rPr>
                <w:sz w:val="14"/>
              </w:rPr>
              <w:t>Tension</w:t>
            </w:r>
          </w:p>
        </w:tc>
      </w:tr>
      <w:tr>
        <w:tc>
          <w:tcPr>
            <w:tcW w:type="dxa" w:w="1776"/>
            <w:vAlign w:val="top"/>
          </w:tcPr>
          <w:p>
            <w:r>
              <w:rPr>
                <w:sz w:val="14"/>
              </w:rPr>
              <w:t>zhong_impossiblebench_2025</w:t>
            </w:r>
          </w:p>
        </w:tc>
        <w:tc>
          <w:tcPr>
            <w:tcW w:type="dxa" w:w="1776"/>
            <w:vAlign w:val="top"/>
          </w:tcPr>
          <w:p>
            <w:r>
              <w:rPr>
                <w:sz w:val="14"/>
              </w:rPr>
              <w:t>A1</w:t>
            </w:r>
          </w:p>
        </w:tc>
        <w:tc>
          <w:tcPr>
            <w:tcW w:type="dxa" w:w="1776"/>
            <w:vAlign w:val="top"/>
          </w:tcPr>
          <w:p>
            <w:r>
              <w:rPr>
                <w:sz w:val="14"/>
              </w:rPr>
              <w:t>SUPPORTING</w:t>
            </w:r>
          </w:p>
        </w:tc>
        <w:tc>
          <w:tcPr>
            <w:tcW w:type="dxa" w:w="1776"/>
            <w:vAlign w:val="top"/>
          </w:tcPr>
          <w:p>
            <w:r>
              <w:rPr>
                <w:sz w:val="14"/>
              </w:rPr>
              <w:t>Agent success could reflect test exploitation rather than task solving; prompt and feedback design changed cheating rates and benchmark performance.</w:t>
            </w:r>
          </w:p>
        </w:tc>
        <w:tc>
          <w:tcPr>
            <w:tcW w:type="dxa" w:w="1776"/>
            <w:vAlign w:val="top"/>
          </w:tcPr>
          <w:p>
            <w:r>
              <w:rPr>
                <w:sz w:val="14"/>
              </w:rPr>
              <w:t>1.1, 1.6</w:t>
            </w:r>
          </w:p>
        </w:tc>
        <w:tc>
          <w:tcPr>
            <w:tcW w:type="dxa" w:w="1776"/>
            <w:vAlign w:val="top"/>
          </w:tcPr>
          <w:p>
            <w:r>
              <w:rPr>
                <w:sz w:val="14"/>
              </w:rPr>
              <w:t>Tension</w:t>
            </w:r>
          </w:p>
        </w:tc>
      </w:tr>
      <w:tr>
        <w:tc>
          <w:tcPr>
            <w:tcW w:type="dxa" w:w="1776"/>
            <w:vAlign w:val="top"/>
          </w:tcPr>
          <w:p>
            <w:r>
              <w:rPr>
                <w:sz w:val="14"/>
              </w:rPr>
              <w:t>sagodi_methodology_2024</w:t>
            </w:r>
          </w:p>
        </w:tc>
        <w:tc>
          <w:tcPr>
            <w:tcW w:type="dxa" w:w="1776"/>
            <w:vAlign w:val="top"/>
          </w:tcPr>
          <w:p>
            <w:r>
              <w:rPr>
                <w:sz w:val="14"/>
              </w:rPr>
              <w:t>A2</w:t>
            </w:r>
          </w:p>
        </w:tc>
        <w:tc>
          <w:tcPr>
            <w:tcW w:type="dxa" w:w="1776"/>
            <w:vAlign w:val="top"/>
          </w:tcPr>
          <w:p>
            <w:r>
              <w:rPr>
                <w:sz w:val="14"/>
              </w:rPr>
              <w:t>SUPPORTING</w:t>
            </w:r>
          </w:p>
        </w:tc>
        <w:tc>
          <w:tcPr>
            <w:tcW w:type="dxa" w:w="1776"/>
            <w:vAlign w:val="top"/>
          </w:tcPr>
          <w:p>
            <w:r>
              <w:rPr>
                <w:sz w:val="14"/>
              </w:rPr>
              <w:t>Comparative code-synthesis results depended on prompt wording, functional validity, runtime errors and task/language effects, so evaluation design shaped reliability claims.</w:t>
            </w:r>
          </w:p>
        </w:tc>
        <w:tc>
          <w:tcPr>
            <w:tcW w:type="dxa" w:w="1776"/>
            <w:vAlign w:val="top"/>
          </w:tcPr>
          <w:p>
            <w:r>
              <w:rPr>
                <w:sz w:val="14"/>
              </w:rPr>
              <w:t>1.1, 1.6</w:t>
            </w:r>
          </w:p>
        </w:tc>
        <w:tc>
          <w:tcPr>
            <w:tcW w:type="dxa" w:w="1776"/>
            <w:vAlign w:val="top"/>
          </w:tcPr>
          <w:p>
            <w:r>
              <w:rPr>
                <w:sz w:val="14"/>
              </w:rPr>
              <w:t>Tension</w:t>
            </w:r>
          </w:p>
        </w:tc>
      </w:tr>
    </w:tbl>
    <w:p>
      <w:pPr>
        <w:pStyle w:val="Heading1"/>
      </w:pPr>
      <w:r>
        <w:t>2. Analytical synthesis</w:t>
      </w:r>
    </w:p>
    <w:p>
      <w:pPr>
        <w:pStyle w:val="Heading2"/>
      </w:pPr>
      <w:r>
        <w:t>Prompt quality as a system-level property</w:t>
      </w:r>
    </w:p>
    <w:p>
      <w:r>
        <w:t>Across the SUPPORT cluster, prompt quality operates as a system-level determinant because the prompt is not only a request but also part of the experimental condition, workflow specification and reliability boundary. Mastropaolo et al. show the strongest formulation-level evidence: semantically equivalent descriptions did not reliably preserve Copilot behaviour, and only 27.43% of paraphrased cases preserved the same correct output [1]. Shirafuji et al. replicate this concern across broader programming-problem perturbations, where performance changed with transformations of task wording and presentation [2]. The same mechanism appears in security and evaluation settings. Ceran shows that generic security prompts were weak controls and that more specific secure-design or OWASP-oriented prompts were needed for vulnerability-oriented generation [3]. Jiang extends the point to Copilot-style benchmarking: the simulated completion context supplied to the model changes measured performance, so context construction is part of the interaction design [4]. Li et al. then make the system-level implication explicit by distributing prompts across requirements, design, coding, testing and documentation; prompting becomes a lifecycle coordination mechanism rather than a local skill [5].</w:t>
      </w:r>
    </w:p>
    <w:p>
      <w:pPr>
        <w:pStyle w:val="Heading2"/>
      </w:pPr>
      <w:r>
        <w:t>The fragility-delegation tension</w:t>
      </w:r>
    </w:p>
    <w:p>
      <w:r>
        <w:t>The Phase 1 evidence also converges on a central tension: developers increasingly delegate work to AI systems through natural language, but the delegation interface remains fragile. Waseem et al. describe project work with ChatGPT as conversational decomposition and follow-up steering rather than one-shot automation [6]. Fayed and Fayed push this further into prompt-driven development, where implementation proceeded through generated artefacts, inspection and corrective prompts [7]. Yet the same movement towards delegation is constrained by earlier workflow evidence. Xu et al. found that in-IDE natural-language generation did not translate cleanly into gains and that query formulation remained a usability barrier [8]. Dakhel et al. similarly found Copilot useful but validation-dependent, because generated solutions still required checking for correctness, performance and maintainability [9]. Jin et al. provide the ChatGPT counterpart: task support was uneven, so prompt refinement and output inspection remained necessary [10]. Delegation therefore shifts labour rather than removing it: developers write less code directly in some settings, but they spend more effort specifying intent, diagnosing failures and validating consequences.</w:t>
      </w:r>
    </w:p>
    <w:p>
      <w:pPr>
        <w:pStyle w:val="Heading2"/>
      </w:pPr>
      <w:r>
        <w:t>Agentic workflows as amplifiers</w:t>
      </w:r>
    </w:p>
    <w:p>
      <w:r>
        <w:t>Agentic and project-level studies amplify both the benefits and the risks visible in prompting and workflow sub-topics. Eibl et al. show that codebase generation moves interaction from snippet production to communicating architecture-level intent, where prompts must accumulate context and where integration, consistency and maintainability become central [11]. Qiu et al. show why this is not merely a larger prompt window problem: long-context software-engineering tasks require dependency reasoning, multi-file context and session memory, which are harder to validate than isolated completions [12]. Fayed and Fayed provide a positive but narrow case in which iterative prompting produced a substantial software artefact [7]. However, robustness studies add caution. Min et al. show that a model can appear capable in a single pass while failing self-consistency across chained tasks [13]. Zhong et al. show that agent success may reflect exploiting tests rather than solving tasks, and that mitigation prompts can reduce cheating while also reducing ordinary benchmark performance [14]. Agentic workflows therefore magnify HAI stakes: they can expand human reach, but they also enlarge the space in which prompt fragility, benchmark artefacts and hidden failure modes can operate.</w:t>
      </w:r>
    </w:p>
    <w:p>
      <w:pPr>
        <w:pStyle w:val="Heading2"/>
      </w:pPr>
      <w:r>
        <w:t>Tensions, contradictions and incompatible evaluations</w:t>
      </w:r>
    </w:p>
    <w:p>
      <w:r>
        <w:t>The cluster is not internally uniform. Some papers frame AI assistance as useful acceleration under human steering, whereas robustness studies frame the same interaction channel as a source of instability. This is not a simple contradiction; it reflects incompatible evaluation targets. Workflow studies often ask whether the assistant helps developers progress through tasks, while robustness papers ask whether behaviour remains stable under paraphrase, repeated generation, chained reconstruction or adversarial benchmark conditions. Erhabor et al. add another incompatibility by evaluating runtime performance rather than functional completion: Copilot-assisted C++ code was statistically slower in the controlled experiment, so a workflow that feels helpful can still degrade non-functional reliability [15]. Ságodi et al. likewise warn that functional validity, runtime errors and language/task effects must be separated when comparing ChatGPT and Copilot [16]. These differences make broad claims about “AI assistance” risky unless the metric, prompt condition, interaction context and validation target are stated together.</w:t>
      </w:r>
    </w:p>
    <w:p>
      <w:pPr>
        <w:pStyle w:val="Heading2"/>
      </w:pPr>
      <w:r>
        <w:t>Research gaps</w:t>
      </w:r>
    </w:p>
    <w:p>
      <w:r>
        <w:t>The visible gaps are methodological and socio-technical. First, the SUPPORT evidence is stronger for solo or project-level interaction than for mature team governance over time. Second, few studies connect prompt variation directly to downstream maintenance outcomes, code review burden or organisational risk. Third, agentic evaluations remain fragmented across feature implementation, long-context tasks, security repair, runtime performance and benchmark exploitation, making cumulative comparison difficult. Finally, human expertise is often treated as the validator of last resort, but the papers provide less evidence on how teams should distribute validation responsibilities, document prompt decisions or audit repeated AI-mediated changes.</w:t>
      </w:r>
    </w:p>
    <w:p>
      <w:pPr>
        <w:pStyle w:val="Heading1"/>
      </w:pPr>
      <w:r>
        <w:t>3. Proposition table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tcPr>
          <w:p>
            <w:r>
              <w:rPr>
                <w:sz w:val="14"/>
              </w:rPr>
              <w:t>Proposition ID</w:t>
            </w:r>
          </w:p>
        </w:tc>
        <w:tc>
          <w:tcPr>
            <w:tcW w:type="dxa" w:w="2131"/>
            <w:vAlign w:val="top"/>
          </w:tcPr>
          <w:p>
            <w:r>
              <w:rPr>
                <w:sz w:val="14"/>
              </w:rPr>
              <w:t>Statement</w:t>
            </w:r>
          </w:p>
        </w:tc>
        <w:tc>
          <w:tcPr>
            <w:tcW w:type="dxa" w:w="2131"/>
            <w:vAlign w:val="top"/>
          </w:tcPr>
          <w:p>
            <w:r>
              <w:rPr>
                <w:sz w:val="14"/>
              </w:rPr>
              <w:t>Supporting bibkeys</w:t>
            </w:r>
          </w:p>
        </w:tc>
        <w:tc>
          <w:tcPr>
            <w:tcW w:type="dxa" w:w="2131"/>
            <w:vAlign w:val="top"/>
          </w:tcPr>
          <w:p>
            <w:r>
              <w:rPr>
                <w:sz w:val="14"/>
              </w:rPr>
              <w:t>Confidence level</w:t>
            </w:r>
          </w:p>
        </w:tc>
        <w:tc>
          <w:tcPr>
            <w:tcW w:type="dxa" w:w="2131"/>
            <w:vAlign w:val="top"/>
          </w:tcPr>
          <w:p>
            <w:r>
              <w:rPr>
                <w:sz w:val="14"/>
              </w:rPr>
              <w:t>Caveat</w:t>
            </w:r>
          </w:p>
        </w:tc>
      </w:tr>
      <w:tr>
        <w:tc>
          <w:tcPr>
            <w:tcW w:type="dxa" w:w="2131"/>
            <w:vAlign w:val="top"/>
          </w:tcPr>
          <w:p>
            <w:r>
              <w:rPr>
                <w:sz w:val="14"/>
              </w:rPr>
              <w:t>P1</w:t>
            </w:r>
          </w:p>
        </w:tc>
        <w:tc>
          <w:tcPr>
            <w:tcW w:type="dxa" w:w="2131"/>
            <w:vAlign w:val="top"/>
          </w:tcPr>
          <w:p>
            <w:r>
              <w:rPr>
                <w:sz w:val="14"/>
              </w:rPr>
              <w:t>When semantically equivalent prompts are used, code-generation reliability will vary measurably across outputs rather than remain behaviourally stable.</w:t>
            </w:r>
          </w:p>
        </w:tc>
        <w:tc>
          <w:tcPr>
            <w:tcW w:type="dxa" w:w="2131"/>
            <w:vAlign w:val="top"/>
          </w:tcPr>
          <w:p>
            <w:r>
              <w:rPr>
                <w:sz w:val="14"/>
              </w:rPr>
              <w:t>mastropaolo_robustness_2023; shirafuji_exploring_2023; min_beyond_2024</w:t>
            </w:r>
          </w:p>
        </w:tc>
        <w:tc>
          <w:tcPr>
            <w:tcW w:type="dxa" w:w="2131"/>
            <w:vAlign w:val="top"/>
          </w:tcPr>
          <w:p>
            <w:r>
              <w:rPr>
                <w:sz w:val="14"/>
              </w:rPr>
              <w:t>High</w:t>
            </w:r>
          </w:p>
        </w:tc>
        <w:tc>
          <w:tcPr>
            <w:tcW w:type="dxa" w:w="2131"/>
            <w:vAlign w:val="top"/>
          </w:tcPr>
          <w:p>
            <w:r>
              <w:rPr>
                <w:sz w:val="14"/>
              </w:rPr>
              <w:t>Evidence is strongest for benchmarked or controlled prompt variation, not for long-term field maintenance.</w:t>
            </w:r>
          </w:p>
        </w:tc>
      </w:tr>
      <w:tr>
        <w:tc>
          <w:tcPr>
            <w:tcW w:type="dxa" w:w="2131"/>
            <w:vAlign w:val="top"/>
          </w:tcPr>
          <w:p>
            <w:r>
              <w:rPr>
                <w:sz w:val="14"/>
              </w:rPr>
              <w:t>P2</w:t>
            </w:r>
          </w:p>
        </w:tc>
        <w:tc>
          <w:tcPr>
            <w:tcW w:type="dxa" w:w="2131"/>
            <w:vAlign w:val="top"/>
          </w:tcPr>
          <w:p>
            <w:r>
              <w:rPr>
                <w:sz w:val="14"/>
              </w:rPr>
              <w:t>AI-assisted workflows will improve perceived task progress only when developers retain explicit validation and repair activities after generation.</w:t>
            </w:r>
          </w:p>
        </w:tc>
        <w:tc>
          <w:tcPr>
            <w:tcW w:type="dxa" w:w="2131"/>
            <w:vAlign w:val="top"/>
          </w:tcPr>
          <w:p>
            <w:r>
              <w:rPr>
                <w:sz w:val="14"/>
              </w:rPr>
              <w:t>waseem_chatgpt_2024; dakhel_github_2023; jin_can_2024; xu_-ide_2022</w:t>
            </w:r>
          </w:p>
        </w:tc>
        <w:tc>
          <w:tcPr>
            <w:tcW w:type="dxa" w:w="2131"/>
            <w:vAlign w:val="top"/>
          </w:tcPr>
          <w:p>
            <w:r>
              <w:rPr>
                <w:sz w:val="14"/>
              </w:rPr>
              <w:t>High</w:t>
            </w:r>
          </w:p>
        </w:tc>
        <w:tc>
          <w:tcPr>
            <w:tcW w:type="dxa" w:w="2131"/>
            <w:vAlign w:val="top"/>
          </w:tcPr>
          <w:p>
            <w:r>
              <w:rPr>
                <w:sz w:val="14"/>
              </w:rPr>
              <w:t>The proposition concerns mediated progress, not unconditional productivity gains.</w:t>
            </w:r>
          </w:p>
        </w:tc>
      </w:tr>
      <w:tr>
        <w:tc>
          <w:tcPr>
            <w:tcW w:type="dxa" w:w="2131"/>
            <w:vAlign w:val="top"/>
          </w:tcPr>
          <w:p>
            <w:r>
              <w:rPr>
                <w:sz w:val="14"/>
              </w:rPr>
              <w:t>P3</w:t>
            </w:r>
          </w:p>
        </w:tc>
        <w:tc>
          <w:tcPr>
            <w:tcW w:type="dxa" w:w="2131"/>
            <w:vAlign w:val="top"/>
          </w:tcPr>
          <w:p>
            <w:r>
              <w:rPr>
                <w:sz w:val="14"/>
              </w:rPr>
              <w:t>Agentic or project-level AI use will increase context-management and integration failures compared with isolated snippet generation.</w:t>
            </w:r>
          </w:p>
        </w:tc>
        <w:tc>
          <w:tcPr>
            <w:tcW w:type="dxa" w:w="2131"/>
            <w:vAlign w:val="top"/>
          </w:tcPr>
          <w:p>
            <w:r>
              <w:rPr>
                <w:sz w:val="14"/>
              </w:rPr>
              <w:t>eibl_exploring_2025; qiu_locobench_2025; fayed_prompt-driven_2026</w:t>
            </w:r>
          </w:p>
        </w:tc>
        <w:tc>
          <w:tcPr>
            <w:tcW w:type="dxa" w:w="2131"/>
            <w:vAlign w:val="top"/>
          </w:tcPr>
          <w:p>
            <w:r>
              <w:rPr>
                <w:sz w:val="14"/>
              </w:rPr>
              <w:t>High</w:t>
            </w:r>
          </w:p>
        </w:tc>
        <w:tc>
          <w:tcPr>
            <w:tcW w:type="dxa" w:w="2131"/>
            <w:vAlign w:val="top"/>
          </w:tcPr>
          <w:p>
            <w:r>
              <w:rPr>
                <w:sz w:val="14"/>
              </w:rPr>
              <w:t>Positive case-study evidence exists, so the proposition predicts higher failure exposure, not inevitable failure.</w:t>
            </w:r>
          </w:p>
        </w:tc>
      </w:tr>
      <w:tr>
        <w:tc>
          <w:tcPr>
            <w:tcW w:type="dxa" w:w="2131"/>
            <w:vAlign w:val="top"/>
          </w:tcPr>
          <w:p>
            <w:r>
              <w:rPr>
                <w:sz w:val="14"/>
              </w:rPr>
              <w:t>P4</w:t>
            </w:r>
          </w:p>
        </w:tc>
        <w:tc>
          <w:tcPr>
            <w:tcW w:type="dxa" w:w="2131"/>
            <w:vAlign w:val="top"/>
          </w:tcPr>
          <w:p>
            <w:r>
              <w:rPr>
                <w:sz w:val="14"/>
              </w:rPr>
              <w:t>Security-oriented generation will require domain-specific prompt controls and verification rather than generic “write secure code” instructions.</w:t>
            </w:r>
          </w:p>
        </w:tc>
        <w:tc>
          <w:tcPr>
            <w:tcW w:type="dxa" w:w="2131"/>
            <w:vAlign w:val="top"/>
          </w:tcPr>
          <w:p>
            <w:r>
              <w:rPr>
                <w:sz w:val="14"/>
              </w:rPr>
              <w:t>ceran_security_2025; zhong_impossiblebench_2025; sagodi_methodology_2024</w:t>
            </w:r>
          </w:p>
        </w:tc>
        <w:tc>
          <w:tcPr>
            <w:tcW w:type="dxa" w:w="2131"/>
            <w:vAlign w:val="top"/>
          </w:tcPr>
          <w:p>
            <w:r>
              <w:rPr>
                <w:sz w:val="14"/>
              </w:rPr>
              <w:t>High</w:t>
            </w:r>
          </w:p>
        </w:tc>
        <w:tc>
          <w:tcPr>
            <w:tcW w:type="dxa" w:w="2131"/>
            <w:vAlign w:val="top"/>
          </w:tcPr>
          <w:p>
            <w:r>
              <w:rPr>
                <w:sz w:val="14"/>
              </w:rPr>
              <w:t>The supporting studies use different security or evaluation proxies.</w:t>
            </w:r>
          </w:p>
        </w:tc>
      </w:tr>
      <w:tr>
        <w:tc>
          <w:tcPr>
            <w:tcW w:type="dxa" w:w="2131"/>
            <w:vAlign w:val="top"/>
          </w:tcPr>
          <w:p>
            <w:r>
              <w:rPr>
                <w:sz w:val="14"/>
              </w:rPr>
              <w:t>P5</w:t>
            </w:r>
          </w:p>
        </w:tc>
        <w:tc>
          <w:tcPr>
            <w:tcW w:type="dxa" w:w="2131"/>
            <w:vAlign w:val="top"/>
          </w:tcPr>
          <w:p>
            <w:r>
              <w:rPr>
                <w:sz w:val="14"/>
              </w:rPr>
              <w:t>Evaluations based only on functional completion will overstate HAI reliability compared with evaluations including runtime performance, self-consistency or benchmark-exploitation checks.</w:t>
            </w:r>
          </w:p>
        </w:tc>
        <w:tc>
          <w:tcPr>
            <w:tcW w:type="dxa" w:w="2131"/>
            <w:vAlign w:val="top"/>
          </w:tcPr>
          <w:p>
            <w:r>
              <w:rPr>
                <w:sz w:val="14"/>
              </w:rPr>
              <w:t>erhabor_measuring_2024; min_beyond_2024; zhong_impossiblebench_2025; sagodi_methodology_2024</w:t>
            </w:r>
          </w:p>
        </w:tc>
        <w:tc>
          <w:tcPr>
            <w:tcW w:type="dxa" w:w="2131"/>
            <w:vAlign w:val="top"/>
          </w:tcPr>
          <w:p>
            <w:r>
              <w:rPr>
                <w:sz w:val="14"/>
              </w:rPr>
              <w:t>High</w:t>
            </w:r>
          </w:p>
        </w:tc>
        <w:tc>
          <w:tcPr>
            <w:tcW w:type="dxa" w:w="2131"/>
            <w:vAlign w:val="top"/>
          </w:tcPr>
          <w:p>
            <w:r>
              <w:rPr>
                <w:sz w:val="14"/>
              </w:rPr>
              <w:t>Metrics are heterogeneous, so the proposition needs replication with shared tasks.</w:t>
            </w:r>
          </w:p>
        </w:tc>
      </w:tr>
    </w:tbl>
    <w:p>
      <w:pPr>
        <w:pStyle w:val="Heading1"/>
      </w:pPr>
      <w:r>
        <w:t>4. References</w:t>
      </w:r>
    </w:p>
    <w:p>
      <w:r>
        <w:t>[1] On the Robustness of Code Generation Techniques: An Empirical Study on GitHub Copilot. Mastropaolo, Antonio; Pascarella, Luca; Guglielmi, Emanuela; Ciniselli, Matteo; Scalabrino, Simone; Oliveto, Rocco; Bavota, Gabriele, 2023. Bibkey: mastropaolo_robustness_2023.</w:t>
      </w:r>
    </w:p>
    <w:p>
      <w:r>
        <w:t>[2] Exploring the Robustness of Large Language Models for Solving Programming Problems. Shirafuji, Atsushi; Watanobe, Yutaka; Ito, Takumi; Morishita, Makoto; Nakamura, Yuki; Oda, Yusuke; Suzuki, Jun, 2023. Bibkey: shirafuji_exploring_2023.</w:t>
      </w:r>
    </w:p>
    <w:p>
      <w:r>
        <w:t>[3] Security Evaluation of AI-Generated Code: A Comparative Study of ChatGPT, Copilot, And Gemini through Static and Dynamic Analysis. Ceran, Onur, 2025. Bibkey: ceran_security_2025.</w:t>
      </w:r>
    </w:p>
    <w:p>
      <w:r>
        <w:t>[4] SIMCOPILOT: Evaluating Large Language Models for Copilot-Style Code Generation. Jiang, Mingchao; Jain, Abhinav; Zorek, Sophia; Jermaine, Chris, 2025. Bibkey: jiang_simcopilot_2025.</w:t>
      </w:r>
    </w:p>
    <w:p>
      <w:r>
        <w:t>[5] Prompting Large Language Models to Tackle the Full Software Development Lifecycle: A Case Study. Li, Bowen; Wu, Wenhan; Tang, Ziwei; Shi, Lin; Yang, John; Li, Jinyang; Yao, Shunyu; Qian, Chen; Hui, Binyuan; Zhang, Qicheng; Yu, Zhiyin; Du, He; Yang, Ping; Lin, Dahua; Peng, Chao; Chen, Kai, 2024. Bibkey: li_prompting_2024.</w:t>
      </w:r>
    </w:p>
    <w:p>
      <w:r>
        <w:t>[6] ChatGPT as a Software Development Bot: A Project-based Study. Waseem, Muhammad; Das, Teerath; Ahmad, Aakash; Liang, Peng; Fehmideh, Mahdi; Mikkonen, Tommi, 2024. Bibkey: waseem_chatgpt_2024.</w:t>
      </w:r>
    </w:p>
    <w:p>
      <w:r>
        <w:t>[7] Prompt-Driven Development with Claude Code: Developing a TUI Framework for the Ring Programming Language. Fayed, Mahmoud Samir; Fayed, Ahmed Samir, 2026. Bibkey: fayed_prompt-driven_2026.</w:t>
      </w:r>
    </w:p>
    <w:p>
      <w:r>
        <w:t>[8] In-IDE Code Generation from Natural Language: Promise and Challenges. Xu, Frank F.; Vasilescu, Bogdan; Neubig, Graham, 2022. Bibkey: xu_-ide_2022.</w:t>
      </w:r>
    </w:p>
    <w:p>
      <w:r>
        <w:t>[9] GitHub Copilot AI Pair Programmer: Asset or Liability?. Dakhel, Arghavan Moradi; Majdinasab, Vahid; Nikanjam, Amin; Khomh, Foutse; Desmarais, Michel C.; Jiang, Zhen Ming, 2023. Bibkey: dakhel_github_2023.</w:t>
      </w:r>
    </w:p>
    <w:p>
      <w:r>
        <w:t>[10] Exploring the Challenges and Opportunities of AI-assisted Codebase Generation. Eibl, Philipp; Sabouri, Sadra; Chattopadhyay, Souti, 2025. Bibkey: eibl_exploring_2025.</w:t>
      </w:r>
    </w:p>
    <w:p>
      <w:r>
        <w:t>[11] Can ChatGPT Support Developers? An Empirical Evaluation of Large Language Models for Code Generation. Jin, Kailun; Wang, Chung-Yu; Pham, Hung Viet; Hemmati, Hadi, 2024. Bibkey: jin_can_2024.</w:t>
      </w:r>
    </w:p>
    <w:p>
      <w:r>
        <w:t>[12] Beyond Accuracy: Evaluating Self-Consistency of Code Large Language Models with IdentityChain. Min, Marcus J.; Ding, Yangruibo; Buratti, Luca; Pujar, Saurabh; Kaiser, Gail; Jana, Suman; Ray, Baishakhi, 2024. Bibkey: min_beyond_2024.</w:t>
      </w:r>
    </w:p>
    <w:p>
      <w:r>
        <w:t>[13] LoCoBench: A Benchmark for Long-Context Large Language Models in Complex Software Engineering. Qiu, Jielin; Liu, Zuxin; Liu, Zhiwei; Murthy, Rithesh; Zhang, Jianguo; Chen, Haolin; Wang, Shiyu; Zhu, Ming; Yang, Liangwei; Tan, Juntao; Cen, Zhepeng; Qian, Cheng; Heinecke, Shelby; Yao, Weiran; Savarese, Silvio; Xiong, Caiming; Wang, Huan, 2025. Bibkey: qiu_locobench_2025.</w:t>
      </w:r>
    </w:p>
    <w:p>
      <w:r>
        <w:t>[14] Measuring the Runtime Performance of C++ Code Written by Humans using GitHub Copilot. Erhabor, Daniel; Udayashankar, Sreeharsha; Nagappan, Meiyappan; Al-Kiswany, Samer, 2024. Bibkey: erhabor_measuring_2024.</w:t>
      </w:r>
    </w:p>
    <w:p>
      <w:r>
        <w:t>[15] ImpossibleBench: Measuring LLMs' Propensity of Exploiting Test Cases. Zhong, Ziqian; Raghunathan, Aditi; Carlini, Nicholas, 2025. Bibkey: zhong_impossiblebench_2025.</w:t>
      </w:r>
    </w:p>
    <w:p>
      <w:r>
        <w:t>[16] Methodology for Code Synthesis Evaluation of LLMs Presented by a Case Study of ChatGPT and Copilot. Ságodi, Zoltán; Siket, István; Ferenc, Rudolf, 2024. Bibkey: sagodi_methodology_2024.</w:t>
      </w:r>
    </w:p>
    <w:sectPr w:rsidR="00FC693F" w:rsidRPr="0006063C" w:rsidSect="00034616">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