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2.2 — NB4 HAI SUPPORT: Cross-cutting patterns across trust, developer experience, and learning</w:t>
      </w:r>
    </w:p>
    <w:p>
      <w:r>
        <w:t>Scope and validation note. This synthesis uses Phase 1.3, Phase 1.4, and Phase 1.5 as its evidence base and cites SUPPORTING NB4_HAI_SUPPORT papers only. REMOVE_CANDIDATE papers were not used. Bibkeys were checked against NB4_HAI_Support.bib; quality tiers use column S of Relación de Estudios.xlsx; reference metadata were resolved through Zotero-key mapping into NB4_HAI_Support.csv.</w:t>
      </w:r>
    </w:p>
    <w:p>
      <w:pPr>
        <w:pStyle w:val="Heading1"/>
      </w:pPr>
      <w:r>
        <w:t>1. Cross-cutting evidence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top"/>
          </w:tcPr>
          <w:p>
            <w:r>
              <w:rPr>
                <w:rFonts w:ascii="Arial" w:hAnsi="Arial"/>
                <w:sz w:val="16"/>
              </w:rPr>
              <w:t>Bibkey</w:t>
            </w:r>
          </w:p>
        </w:tc>
        <w:tc>
          <w:tcPr>
            <w:tcW w:type="dxa" w:w="1440"/>
            <w:vAlign w:val="top"/>
          </w:tcPr>
          <w:p>
            <w:r>
              <w:rPr>
                <w:rFonts w:ascii="Arial" w:hAnsi="Arial"/>
                <w:sz w:val="16"/>
              </w:rPr>
              <w:t>Quality tier</w:t>
            </w:r>
          </w:p>
        </w:tc>
        <w:tc>
          <w:tcPr>
            <w:tcW w:type="dxa" w:w="1440"/>
            <w:vAlign w:val="top"/>
          </w:tcPr>
          <w:p>
            <w:r>
              <w:rPr>
                <w:rFonts w:ascii="Arial" w:hAnsi="Arial"/>
                <w:sz w:val="16"/>
              </w:rPr>
              <w:t>Segment</w:t>
            </w:r>
          </w:p>
        </w:tc>
        <w:tc>
          <w:tcPr>
            <w:tcW w:type="dxa" w:w="1440"/>
            <w:vAlign w:val="top"/>
          </w:tcPr>
          <w:p>
            <w:r>
              <w:rPr>
                <w:rFonts w:ascii="Arial" w:hAnsi="Arial"/>
                <w:sz w:val="16"/>
              </w:rPr>
              <w:t>Finding</w:t>
            </w:r>
          </w:p>
        </w:tc>
        <w:tc>
          <w:tcPr>
            <w:tcW w:type="dxa" w:w="1440"/>
            <w:vAlign w:val="top"/>
          </w:tcPr>
          <w:p>
            <w:r>
              <w:rPr>
                <w:rFonts w:ascii="Arial" w:hAnsi="Arial"/>
                <w:sz w:val="16"/>
              </w:rPr>
              <w:t>Sub-topics it appears in</w:t>
            </w:r>
          </w:p>
        </w:tc>
        <w:tc>
          <w:tcPr>
            <w:tcW w:type="dxa" w:w="1440"/>
            <w:vAlign w:val="top"/>
          </w:tcPr>
          <w:p>
            <w:r>
              <w:rPr>
                <w:rFonts w:ascii="Arial" w:hAnsi="Arial"/>
                <w:sz w:val="16"/>
              </w:rPr>
              <w:t>Convergence type</w:t>
            </w:r>
          </w:p>
        </w:tc>
      </w:tr>
      <w:tr>
        <w:tc>
          <w:tcPr>
            <w:tcW w:type="dxa" w:w="1440"/>
            <w:vAlign w:val="top"/>
          </w:tcPr>
          <w:p>
            <w:r>
              <w:rPr>
                <w:rFonts w:ascii="Arial" w:hAnsi="Arial"/>
                <w:sz w:val="16"/>
              </w:rPr>
              <w:t>vaithilingam_expectation_2022</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Copilot helped as a modifiable starting point, but understanding/debugging difficulty produced fragile reliance and a preference stronger than verified improvement.</w:t>
            </w:r>
          </w:p>
        </w:tc>
        <w:tc>
          <w:tcPr>
            <w:tcW w:type="dxa" w:w="1440"/>
            <w:vAlign w:val="top"/>
          </w:tcPr>
          <w:p>
            <w:r>
              <w:rPr>
                <w:rFonts w:ascii="Arial" w:hAnsi="Arial"/>
                <w:sz w:val="16"/>
              </w:rPr>
              <w:t>1.3, 1.4</w:t>
            </w:r>
          </w:p>
        </w:tc>
        <w:tc>
          <w:tcPr>
            <w:tcW w:type="dxa" w:w="1440"/>
            <w:vAlign w:val="top"/>
          </w:tcPr>
          <w:p>
            <w:r>
              <w:rPr>
                <w:rFonts w:ascii="Arial" w:hAnsi="Arial"/>
                <w:sz w:val="16"/>
              </w:rPr>
              <w:t>tension</w:t>
            </w:r>
          </w:p>
        </w:tc>
      </w:tr>
      <w:tr>
        <w:tc>
          <w:tcPr>
            <w:tcW w:type="dxa" w:w="1440"/>
            <w:vAlign w:val="top"/>
          </w:tcPr>
          <w:p>
            <w:r>
              <w:rPr>
                <w:rFonts w:ascii="Arial" w:hAnsi="Arial"/>
                <w:sz w:val="16"/>
              </w:rPr>
              <w:t>liang_large-scale_2024</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Survey evidence links value to acceleration/exploration while also reporting relevance, debugging, documentation lookup and verification burdens.</w:t>
            </w:r>
          </w:p>
        </w:tc>
        <w:tc>
          <w:tcPr>
            <w:tcW w:type="dxa" w:w="1440"/>
            <w:vAlign w:val="top"/>
          </w:tcPr>
          <w:p>
            <w:r>
              <w:rPr>
                <w:rFonts w:ascii="Arial" w:hAnsi="Arial"/>
                <w:sz w:val="16"/>
              </w:rPr>
              <w:t>1.3, 1.4, 1.5</w:t>
            </w:r>
          </w:p>
        </w:tc>
        <w:tc>
          <w:tcPr>
            <w:tcW w:type="dxa" w:w="1440"/>
            <w:vAlign w:val="top"/>
          </w:tcPr>
          <w:p>
            <w:r>
              <w:rPr>
                <w:rFonts w:ascii="Arial" w:hAnsi="Arial"/>
                <w:sz w:val="16"/>
              </w:rPr>
              <w:t>replication</w:t>
            </w:r>
          </w:p>
        </w:tc>
      </w:tr>
      <w:tr>
        <w:tc>
          <w:tcPr>
            <w:tcW w:type="dxa" w:w="1440"/>
            <w:vAlign w:val="top"/>
          </w:tcPr>
          <w:p>
            <w:r>
              <w:rPr>
                <w:rFonts w:ascii="Arial" w:hAnsi="Arial"/>
                <w:sz w:val="16"/>
              </w:rPr>
              <w:t>tan_how_2024</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Usefulness depends on task fit, output format, accuracy, style and explainability; the same gaps motivate educational checking and fallback strategies.</w:t>
            </w:r>
          </w:p>
        </w:tc>
        <w:tc>
          <w:tcPr>
            <w:tcW w:type="dxa" w:w="1440"/>
            <w:vAlign w:val="top"/>
          </w:tcPr>
          <w:p>
            <w:r>
              <w:rPr>
                <w:rFonts w:ascii="Arial" w:hAnsi="Arial"/>
                <w:sz w:val="16"/>
              </w:rPr>
              <w:t>1.3, 1.4, 1.5</w:t>
            </w:r>
          </w:p>
        </w:tc>
        <w:tc>
          <w:tcPr>
            <w:tcW w:type="dxa" w:w="1440"/>
            <w:vAlign w:val="top"/>
          </w:tcPr>
          <w:p>
            <w:r>
              <w:rPr>
                <w:rFonts w:ascii="Arial" w:hAnsi="Arial"/>
                <w:sz w:val="16"/>
              </w:rPr>
              <w:t>replication</w:t>
            </w:r>
          </w:p>
        </w:tc>
      </w:tr>
      <w:tr>
        <w:tc>
          <w:tcPr>
            <w:tcW w:type="dxa" w:w="1440"/>
            <w:vAlign w:val="top"/>
          </w:tcPr>
          <w:p>
            <w:r>
              <w:rPr>
                <w:rFonts w:ascii="Arial" w:hAnsi="Arial"/>
                <w:sz w:val="16"/>
              </w:rPr>
              <w:t>mendes_youre_2024</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Practitioners frame assistants as accelerators that require steering, review and domain judgement rather than autonomous delegation.</w:t>
            </w:r>
          </w:p>
        </w:tc>
        <w:tc>
          <w:tcPr>
            <w:tcW w:type="dxa" w:w="1440"/>
            <w:vAlign w:val="top"/>
          </w:tcPr>
          <w:p>
            <w:r>
              <w:rPr>
                <w:rFonts w:ascii="Arial" w:hAnsi="Arial"/>
                <w:sz w:val="16"/>
              </w:rPr>
              <w:t>1.3, 1.4</w:t>
            </w:r>
          </w:p>
        </w:tc>
        <w:tc>
          <w:tcPr>
            <w:tcW w:type="dxa" w:w="1440"/>
            <w:vAlign w:val="top"/>
          </w:tcPr>
          <w:p>
            <w:r>
              <w:rPr>
                <w:rFonts w:ascii="Arial" w:hAnsi="Arial"/>
                <w:sz w:val="16"/>
              </w:rPr>
              <w:t>replication</w:t>
            </w:r>
          </w:p>
        </w:tc>
      </w:tr>
      <w:tr>
        <w:tc>
          <w:tcPr>
            <w:tcW w:type="dxa" w:w="1440"/>
            <w:vAlign w:val="top"/>
          </w:tcPr>
          <w:p>
            <w:r>
              <w:rPr>
                <w:rFonts w:ascii="Arial" w:hAnsi="Arial"/>
                <w:sz w:val="16"/>
              </w:rPr>
              <w:t>rasnayaka_empirical_2024</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Project users report usefulness for ideation, explanation and coding while also worrying about correctness, reliability and dependence.</w:t>
            </w:r>
          </w:p>
        </w:tc>
        <w:tc>
          <w:tcPr>
            <w:tcW w:type="dxa" w:w="1440"/>
            <w:vAlign w:val="top"/>
          </w:tcPr>
          <w:p>
            <w:r>
              <w:rPr>
                <w:rFonts w:ascii="Arial" w:hAnsi="Arial"/>
                <w:sz w:val="16"/>
              </w:rPr>
              <w:t>1.3, 1.4</w:t>
            </w:r>
          </w:p>
        </w:tc>
        <w:tc>
          <w:tcPr>
            <w:tcW w:type="dxa" w:w="1440"/>
            <w:vAlign w:val="top"/>
          </w:tcPr>
          <w:p>
            <w:r>
              <w:rPr>
                <w:rFonts w:ascii="Arial" w:hAnsi="Arial"/>
                <w:sz w:val="16"/>
              </w:rPr>
              <w:t>replication</w:t>
            </w:r>
          </w:p>
        </w:tc>
      </w:tr>
      <w:tr>
        <w:tc>
          <w:tcPr>
            <w:tcW w:type="dxa" w:w="1440"/>
            <w:vAlign w:val="top"/>
          </w:tcPr>
          <w:p>
            <w:r>
              <w:rPr>
                <w:rFonts w:ascii="Arial" w:hAnsi="Arial"/>
                <w:sz w:val="16"/>
              </w:rPr>
              <w:t>min_beyond_2024</w:t>
            </w:r>
          </w:p>
        </w:tc>
        <w:tc>
          <w:tcPr>
            <w:tcW w:type="dxa" w:w="1440"/>
            <w:vAlign w:val="top"/>
          </w:tcPr>
          <w:p>
            <w:r>
              <w:rPr>
                <w:rFonts w:ascii="Arial" w:hAnsi="Arial"/>
                <w:sz w:val="16"/>
              </w:rPr>
              <w:t>A1</w:t>
            </w:r>
          </w:p>
        </w:tc>
        <w:tc>
          <w:tcPr>
            <w:tcW w:type="dxa" w:w="1440"/>
            <w:vAlign w:val="top"/>
          </w:tcPr>
          <w:p>
            <w:r>
              <w:rPr>
                <w:rFonts w:ascii="Arial" w:hAnsi="Arial"/>
                <w:sz w:val="16"/>
              </w:rPr>
              <w:t>SUPPORTING</w:t>
            </w:r>
          </w:p>
        </w:tc>
        <w:tc>
          <w:tcPr>
            <w:tcW w:type="dxa" w:w="1440"/>
            <w:vAlign w:val="top"/>
          </w:tcPr>
          <w:p>
            <w:r>
              <w:rPr>
                <w:rFonts w:ascii="Arial" w:hAnsi="Arial"/>
                <w:sz w:val="16"/>
              </w:rPr>
              <w:t>Self-consistency evidence extends trust and learning assessment beyond apparent accuracy because semantically equivalent prompts may yield unstable behaviour.</w:t>
            </w:r>
          </w:p>
        </w:tc>
        <w:tc>
          <w:tcPr>
            <w:tcW w:type="dxa" w:w="1440"/>
            <w:vAlign w:val="top"/>
          </w:tcPr>
          <w:p>
            <w:r>
              <w:rPr>
                <w:rFonts w:ascii="Arial" w:hAnsi="Arial"/>
                <w:sz w:val="16"/>
              </w:rPr>
              <w:t>1.3, 1.5</w:t>
            </w:r>
          </w:p>
        </w:tc>
        <w:tc>
          <w:tcPr>
            <w:tcW w:type="dxa" w:w="1440"/>
            <w:vAlign w:val="top"/>
          </w:tcPr>
          <w:p>
            <w:r>
              <w:rPr>
                <w:rFonts w:ascii="Arial" w:hAnsi="Arial"/>
                <w:sz w:val="16"/>
              </w:rPr>
              <w:t>extension</w:t>
            </w:r>
          </w:p>
        </w:tc>
      </w:tr>
      <w:tr>
        <w:tc>
          <w:tcPr>
            <w:tcW w:type="dxa" w:w="1440"/>
            <w:vAlign w:val="top"/>
          </w:tcPr>
          <w:p>
            <w:r>
              <w:rPr>
                <w:rFonts w:ascii="Arial" w:hAnsi="Arial"/>
                <w:sz w:val="16"/>
              </w:rPr>
              <w:t>dakhel_github_2023</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Copilot’s useful outputs coexist with wrong, insecure or unstable algorithmic solutions, making novice acceptance risky.</w:t>
            </w:r>
          </w:p>
        </w:tc>
        <w:tc>
          <w:tcPr>
            <w:tcW w:type="dxa" w:w="1440"/>
            <w:vAlign w:val="top"/>
          </w:tcPr>
          <w:p>
            <w:r>
              <w:rPr>
                <w:rFonts w:ascii="Arial" w:hAnsi="Arial"/>
                <w:sz w:val="16"/>
              </w:rPr>
              <w:t>1.3, 1.5</w:t>
            </w:r>
          </w:p>
        </w:tc>
        <w:tc>
          <w:tcPr>
            <w:tcW w:type="dxa" w:w="1440"/>
            <w:vAlign w:val="top"/>
          </w:tcPr>
          <w:p>
            <w:r>
              <w:rPr>
                <w:rFonts w:ascii="Arial" w:hAnsi="Arial"/>
                <w:sz w:val="16"/>
              </w:rPr>
              <w:t>replication</w:t>
            </w:r>
          </w:p>
        </w:tc>
      </w:tr>
      <w:tr>
        <w:tc>
          <w:tcPr>
            <w:tcW w:type="dxa" w:w="1440"/>
            <w:vAlign w:val="top"/>
          </w:tcPr>
          <w:p>
            <w:r>
              <w:rPr>
                <w:rFonts w:ascii="Arial" w:hAnsi="Arial"/>
                <w:sz w:val="16"/>
              </w:rPr>
              <w:t>imai_is_2022</w:t>
            </w:r>
          </w:p>
        </w:tc>
        <w:tc>
          <w:tcPr>
            <w:tcW w:type="dxa" w:w="1440"/>
            <w:vAlign w:val="top"/>
          </w:tcPr>
          <w:p>
            <w:r>
              <w:rPr>
                <w:rFonts w:ascii="Arial" w:hAnsi="Arial"/>
                <w:sz w:val="16"/>
              </w:rPr>
              <w:t>B</w:t>
            </w:r>
          </w:p>
        </w:tc>
        <w:tc>
          <w:tcPr>
            <w:tcW w:type="dxa" w:w="1440"/>
            <w:vAlign w:val="top"/>
          </w:tcPr>
          <w:p>
            <w:r>
              <w:rPr>
                <w:rFonts w:ascii="Arial" w:hAnsi="Arial"/>
                <w:sz w:val="16"/>
              </w:rPr>
              <w:t>SUPPORTING</w:t>
            </w:r>
          </w:p>
        </w:tc>
        <w:tc>
          <w:tcPr>
            <w:tcW w:type="dxa" w:w="1440"/>
            <w:vAlign w:val="top"/>
          </w:tcPr>
          <w:p>
            <w:r>
              <w:rPr>
                <w:rFonts w:ascii="Arial" w:hAnsi="Arial"/>
                <w:sz w:val="16"/>
              </w:rPr>
              <w:t>Copilot increased code volume, but quality indicators and later deletions caution against equating output quantity with learning or pair-programming quality.</w:t>
            </w:r>
          </w:p>
        </w:tc>
        <w:tc>
          <w:tcPr>
            <w:tcW w:type="dxa" w:w="1440"/>
            <w:vAlign w:val="top"/>
          </w:tcPr>
          <w:p>
            <w:r>
              <w:rPr>
                <w:rFonts w:ascii="Arial" w:hAnsi="Arial"/>
                <w:sz w:val="16"/>
              </w:rPr>
              <w:t>1.4, 1.5</w:t>
            </w:r>
          </w:p>
        </w:tc>
        <w:tc>
          <w:tcPr>
            <w:tcW w:type="dxa" w:w="1440"/>
            <w:vAlign w:val="top"/>
          </w:tcPr>
          <w:p>
            <w:r>
              <w:rPr>
                <w:rFonts w:ascii="Arial" w:hAnsi="Arial"/>
                <w:sz w:val="16"/>
              </w:rPr>
              <w:t>tension</w:t>
            </w:r>
          </w:p>
        </w:tc>
      </w:tr>
      <w:tr>
        <w:tc>
          <w:tcPr>
            <w:tcW w:type="dxa" w:w="1440"/>
            <w:vAlign w:val="top"/>
          </w:tcPr>
          <w:p>
            <w:r>
              <w:rPr>
                <w:rFonts w:ascii="Arial" w:hAnsi="Arial"/>
                <w:sz w:val="16"/>
              </w:rPr>
              <w:t>hellas_exploring_2023</w:t>
            </w:r>
          </w:p>
        </w:tc>
        <w:tc>
          <w:tcPr>
            <w:tcW w:type="dxa" w:w="1440"/>
            <w:vAlign w:val="top"/>
          </w:tcPr>
          <w:p>
            <w:r>
              <w:rPr>
                <w:rFonts w:ascii="Arial" w:hAnsi="Arial"/>
                <w:sz w:val="16"/>
              </w:rPr>
              <w:t>A1</w:t>
            </w:r>
          </w:p>
        </w:tc>
        <w:tc>
          <w:tcPr>
            <w:tcW w:type="dxa" w:w="1440"/>
            <w:vAlign w:val="top"/>
          </w:tcPr>
          <w:p>
            <w:r>
              <w:rPr>
                <w:rFonts w:ascii="Arial" w:hAnsi="Arial"/>
                <w:sz w:val="16"/>
              </w:rPr>
              <w:t>SUPPORTING</w:t>
            </w:r>
          </w:p>
        </w:tc>
        <w:tc>
          <w:tcPr>
            <w:tcW w:type="dxa" w:w="1440"/>
            <w:vAlign w:val="top"/>
          </w:tcPr>
          <w:p>
            <w:r>
              <w:rPr>
                <w:rFonts w:ascii="Arial" w:hAnsi="Arial"/>
                <w:sz w:val="16"/>
              </w:rPr>
              <w:t>Beginner help responses are accessible and sometimes useful, but incomplete diagnoses and false positives show limits for novice comprehension.</w:t>
            </w:r>
          </w:p>
        </w:tc>
        <w:tc>
          <w:tcPr>
            <w:tcW w:type="dxa" w:w="1440"/>
            <w:vAlign w:val="top"/>
          </w:tcPr>
          <w:p>
            <w:r>
              <w:rPr>
                <w:rFonts w:ascii="Arial" w:hAnsi="Arial"/>
                <w:sz w:val="16"/>
              </w:rPr>
              <w:t>1.4, 1.5</w:t>
            </w:r>
          </w:p>
        </w:tc>
        <w:tc>
          <w:tcPr>
            <w:tcW w:type="dxa" w:w="1440"/>
            <w:vAlign w:val="top"/>
          </w:tcPr>
          <w:p>
            <w:r>
              <w:rPr>
                <w:rFonts w:ascii="Arial" w:hAnsi="Arial"/>
                <w:sz w:val="16"/>
              </w:rPr>
              <w:t>extension</w:t>
            </w:r>
          </w:p>
        </w:tc>
      </w:tr>
      <w:tr>
        <w:tc>
          <w:tcPr>
            <w:tcW w:type="dxa" w:w="1440"/>
            <w:vAlign w:val="top"/>
          </w:tcPr>
          <w:p>
            <w:r>
              <w:rPr>
                <w:rFonts w:ascii="Arial" w:hAnsi="Arial"/>
                <w:sz w:val="16"/>
              </w:rPr>
              <w:t>bento_leveraging_2025</w:t>
            </w:r>
          </w:p>
        </w:tc>
        <w:tc>
          <w:tcPr>
            <w:tcW w:type="dxa" w:w="1440"/>
            <w:vAlign w:val="top"/>
          </w:tcPr>
          <w:p>
            <w:r>
              <w:rPr>
                <w:rFonts w:ascii="Arial" w:hAnsi="Arial"/>
                <w:sz w:val="16"/>
              </w:rPr>
              <w:t>B</w:t>
            </w:r>
          </w:p>
        </w:tc>
        <w:tc>
          <w:tcPr>
            <w:tcW w:type="dxa" w:w="1440"/>
            <w:vAlign w:val="top"/>
          </w:tcPr>
          <w:p>
            <w:r>
              <w:rPr>
                <w:rFonts w:ascii="Arial" w:hAnsi="Arial"/>
                <w:sz w:val="16"/>
              </w:rPr>
              <w:t>SUPPORTING</w:t>
            </w:r>
          </w:p>
        </w:tc>
        <w:tc>
          <w:tcPr>
            <w:tcW w:type="dxa" w:w="1440"/>
            <w:vAlign w:val="top"/>
          </w:tcPr>
          <w:p>
            <w:r>
              <w:rPr>
                <w:rFonts w:ascii="Arial" w:hAnsi="Arial"/>
                <w:sz w:val="16"/>
              </w:rPr>
              <w:t>Students reported satisfaction and accelerated implementation, but reflections warn about over-reliance, uneven quality and output evaluation.</w:t>
            </w:r>
          </w:p>
        </w:tc>
        <w:tc>
          <w:tcPr>
            <w:tcW w:type="dxa" w:w="1440"/>
            <w:vAlign w:val="top"/>
          </w:tcPr>
          <w:p>
            <w:r>
              <w:rPr>
                <w:rFonts w:ascii="Arial" w:hAnsi="Arial"/>
                <w:sz w:val="16"/>
              </w:rPr>
              <w:t>1.4, 1.5</w:t>
            </w:r>
          </w:p>
        </w:tc>
        <w:tc>
          <w:tcPr>
            <w:tcW w:type="dxa" w:w="1440"/>
            <w:vAlign w:val="top"/>
          </w:tcPr>
          <w:p>
            <w:r>
              <w:rPr>
                <w:rFonts w:ascii="Arial" w:hAnsi="Arial"/>
                <w:sz w:val="16"/>
              </w:rPr>
              <w:t>tension</w:t>
            </w:r>
          </w:p>
        </w:tc>
      </w:tr>
      <w:tr>
        <w:tc>
          <w:tcPr>
            <w:tcW w:type="dxa" w:w="1440"/>
            <w:vAlign w:val="top"/>
          </w:tcPr>
          <w:p>
            <w:r>
              <w:rPr>
                <w:rFonts w:ascii="Arial" w:hAnsi="Arial"/>
                <w:sz w:val="16"/>
              </w:rPr>
              <w:t>haeggstrom_hands-use_2024</w:t>
            </w:r>
          </w:p>
        </w:tc>
        <w:tc>
          <w:tcPr>
            <w:tcW w:type="dxa" w:w="1440"/>
            <w:vAlign w:val="top"/>
          </w:tcPr>
          <w:p>
            <w:r>
              <w:rPr>
                <w:rFonts w:ascii="Arial" w:hAnsi="Arial"/>
                <w:sz w:val="16"/>
              </w:rPr>
              <w:t>B</w:t>
            </w:r>
          </w:p>
        </w:tc>
        <w:tc>
          <w:tcPr>
            <w:tcW w:type="dxa" w:w="1440"/>
            <w:vAlign w:val="top"/>
          </w:tcPr>
          <w:p>
            <w:r>
              <w:rPr>
                <w:rFonts w:ascii="Arial" w:hAnsi="Arial"/>
                <w:sz w:val="16"/>
              </w:rPr>
              <w:t>SUPPORTING</w:t>
            </w:r>
          </w:p>
        </w:tc>
        <w:tc>
          <w:tcPr>
            <w:tcW w:type="dxa" w:w="1440"/>
            <w:vAlign w:val="top"/>
          </w:tcPr>
          <w:p>
            <w:r>
              <w:rPr>
                <w:rFonts w:ascii="Arial" w:hAnsi="Arial"/>
                <w:sz w:val="16"/>
              </w:rPr>
              <w:t>Hands-on use suggests trust and adoption grow through iterative testing, prompt refinement and selective use, not blanket confidence.</w:t>
            </w:r>
          </w:p>
        </w:tc>
        <w:tc>
          <w:tcPr>
            <w:tcW w:type="dxa" w:w="1440"/>
            <w:vAlign w:val="top"/>
          </w:tcPr>
          <w:p>
            <w:r>
              <w:rPr>
                <w:rFonts w:ascii="Arial" w:hAnsi="Arial"/>
                <w:sz w:val="16"/>
              </w:rPr>
              <w:t>1.3, 1.4</w:t>
            </w:r>
          </w:p>
        </w:tc>
        <w:tc>
          <w:tcPr>
            <w:tcW w:type="dxa" w:w="1440"/>
            <w:vAlign w:val="top"/>
          </w:tcPr>
          <w:p>
            <w:r>
              <w:rPr>
                <w:rFonts w:ascii="Arial" w:hAnsi="Arial"/>
                <w:sz w:val="16"/>
              </w:rPr>
              <w:t>replication</w:t>
            </w:r>
          </w:p>
        </w:tc>
      </w:tr>
      <w:tr>
        <w:tc>
          <w:tcPr>
            <w:tcW w:type="dxa" w:w="1440"/>
            <w:vAlign w:val="top"/>
          </w:tcPr>
          <w:p>
            <w:r>
              <w:rPr>
                <w:rFonts w:ascii="Arial" w:hAnsi="Arial"/>
                <w:sz w:val="16"/>
              </w:rPr>
              <w:t>nascimento_how_2025</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Data-science coding results show bounded success: tools can exceed lower baselines but still require task-level validation.</w:t>
            </w:r>
          </w:p>
        </w:tc>
        <w:tc>
          <w:tcPr>
            <w:tcW w:type="dxa" w:w="1440"/>
            <w:vAlign w:val="top"/>
          </w:tcPr>
          <w:p>
            <w:r>
              <w:rPr>
                <w:rFonts w:ascii="Arial" w:hAnsi="Arial"/>
                <w:sz w:val="16"/>
              </w:rPr>
              <w:t>1.3, 1.5</w:t>
            </w:r>
          </w:p>
        </w:tc>
        <w:tc>
          <w:tcPr>
            <w:tcW w:type="dxa" w:w="1440"/>
            <w:vAlign w:val="top"/>
          </w:tcPr>
          <w:p>
            <w:r>
              <w:rPr>
                <w:rFonts w:ascii="Arial" w:hAnsi="Arial"/>
                <w:sz w:val="16"/>
              </w:rPr>
              <w:t>extension</w:t>
            </w:r>
          </w:p>
        </w:tc>
      </w:tr>
      <w:tr>
        <w:tc>
          <w:tcPr>
            <w:tcW w:type="dxa" w:w="1440"/>
            <w:vAlign w:val="top"/>
          </w:tcPr>
          <w:p>
            <w:r>
              <w:rPr>
                <w:rFonts w:ascii="Arial" w:hAnsi="Arial"/>
                <w:sz w:val="16"/>
              </w:rPr>
              <w:t>suryavanshi_effects_2025</w:t>
            </w:r>
          </w:p>
        </w:tc>
        <w:tc>
          <w:tcPr>
            <w:tcW w:type="dxa" w:w="1440"/>
            <w:vAlign w:val="top"/>
          </w:tcPr>
          <w:p>
            <w:r>
              <w:rPr>
                <w:rFonts w:ascii="Arial" w:hAnsi="Arial"/>
                <w:sz w:val="16"/>
              </w:rPr>
              <w:t>B</w:t>
            </w:r>
          </w:p>
        </w:tc>
        <w:tc>
          <w:tcPr>
            <w:tcW w:type="dxa" w:w="1440"/>
            <w:vAlign w:val="top"/>
          </w:tcPr>
          <w:p>
            <w:r>
              <w:rPr>
                <w:rFonts w:ascii="Arial" w:hAnsi="Arial"/>
                <w:sz w:val="16"/>
              </w:rPr>
              <w:t>SUPPORTING</w:t>
            </w:r>
          </w:p>
        </w:tc>
        <w:tc>
          <w:tcPr>
            <w:tcW w:type="dxa" w:w="1440"/>
            <w:vAlign w:val="top"/>
          </w:tcPr>
          <w:p>
            <w:r>
              <w:rPr>
                <w:rFonts w:ascii="Arial" w:hAnsi="Arial"/>
                <w:sz w:val="16"/>
              </w:rPr>
              <w:t>Perceived productivity gains coexist with warnings that reliance may reduce critical engagement with generated code.</w:t>
            </w:r>
          </w:p>
        </w:tc>
        <w:tc>
          <w:tcPr>
            <w:tcW w:type="dxa" w:w="1440"/>
            <w:vAlign w:val="top"/>
          </w:tcPr>
          <w:p>
            <w:r>
              <w:rPr>
                <w:rFonts w:ascii="Arial" w:hAnsi="Arial"/>
                <w:sz w:val="16"/>
              </w:rPr>
              <w:t>1.3, 1.4</w:t>
            </w:r>
          </w:p>
        </w:tc>
        <w:tc>
          <w:tcPr>
            <w:tcW w:type="dxa" w:w="1440"/>
            <w:vAlign w:val="top"/>
          </w:tcPr>
          <w:p>
            <w:r>
              <w:rPr>
                <w:rFonts w:ascii="Arial" w:hAnsi="Arial"/>
                <w:sz w:val="16"/>
              </w:rPr>
              <w:t>tension</w:t>
            </w:r>
          </w:p>
        </w:tc>
      </w:tr>
      <w:tr>
        <w:tc>
          <w:tcPr>
            <w:tcW w:type="dxa" w:w="1440"/>
            <w:vAlign w:val="top"/>
          </w:tcPr>
          <w:p>
            <w:r>
              <w:rPr>
                <w:rFonts w:ascii="Arial" w:hAnsi="Arial"/>
                <w:sz w:val="16"/>
              </w:rPr>
              <w:t>madampe_how_2025</w:t>
            </w:r>
          </w:p>
        </w:tc>
        <w:tc>
          <w:tcPr>
            <w:tcW w:type="dxa" w:w="1440"/>
            <w:vAlign w:val="top"/>
          </w:tcPr>
          <w:p>
            <w:r>
              <w:rPr>
                <w:rFonts w:ascii="Arial" w:hAnsi="Arial"/>
                <w:sz w:val="16"/>
              </w:rPr>
              <w:t>B</w:t>
            </w:r>
          </w:p>
        </w:tc>
        <w:tc>
          <w:tcPr>
            <w:tcW w:type="dxa" w:w="1440"/>
            <w:vAlign w:val="top"/>
          </w:tcPr>
          <w:p>
            <w:r>
              <w:rPr>
                <w:rFonts w:ascii="Arial" w:hAnsi="Arial"/>
                <w:sz w:val="16"/>
              </w:rPr>
              <w:t>SUPPORTING</w:t>
            </w:r>
          </w:p>
        </w:tc>
        <w:tc>
          <w:tcPr>
            <w:tcW w:type="dxa" w:w="1440"/>
            <w:vAlign w:val="top"/>
          </w:tcPr>
          <w:p>
            <w:r>
              <w:rPr>
                <w:rFonts w:ascii="Arial" w:hAnsi="Arial"/>
                <w:sz w:val="16"/>
              </w:rPr>
              <w:t>Privacy-related generation is useful only with human validation against privacy requirements and contextual judgement.</w:t>
            </w:r>
          </w:p>
        </w:tc>
        <w:tc>
          <w:tcPr>
            <w:tcW w:type="dxa" w:w="1440"/>
            <w:vAlign w:val="top"/>
          </w:tcPr>
          <w:p>
            <w:r>
              <w:rPr>
                <w:rFonts w:ascii="Arial" w:hAnsi="Arial"/>
                <w:sz w:val="16"/>
              </w:rPr>
              <w:t>1.3, 1.4</w:t>
            </w:r>
          </w:p>
        </w:tc>
        <w:tc>
          <w:tcPr>
            <w:tcW w:type="dxa" w:w="1440"/>
            <w:vAlign w:val="top"/>
          </w:tcPr>
          <w:p>
            <w:r>
              <w:rPr>
                <w:rFonts w:ascii="Arial" w:hAnsi="Arial"/>
                <w:sz w:val="16"/>
              </w:rPr>
              <w:t>extension</w:t>
            </w:r>
          </w:p>
        </w:tc>
      </w:tr>
      <w:tr>
        <w:tc>
          <w:tcPr>
            <w:tcW w:type="dxa" w:w="1440"/>
            <w:vAlign w:val="top"/>
          </w:tcPr>
          <w:p>
            <w:r>
              <w:rPr>
                <w:rFonts w:ascii="Arial" w:hAnsi="Arial"/>
                <w:sz w:val="16"/>
              </w:rPr>
              <w:t>rahe_how_2025</w:t>
            </w:r>
          </w:p>
        </w:tc>
        <w:tc>
          <w:tcPr>
            <w:tcW w:type="dxa" w:w="1440"/>
            <w:vAlign w:val="top"/>
          </w:tcPr>
          <w:p>
            <w:r>
              <w:rPr>
                <w:rFonts w:ascii="Arial" w:hAnsi="Arial"/>
                <w:sz w:val="16"/>
              </w:rPr>
              <w:t>A1</w:t>
            </w:r>
          </w:p>
        </w:tc>
        <w:tc>
          <w:tcPr>
            <w:tcW w:type="dxa" w:w="1440"/>
            <w:vAlign w:val="top"/>
          </w:tcPr>
          <w:p>
            <w:r>
              <w:rPr>
                <w:rFonts w:ascii="Arial" w:hAnsi="Arial"/>
                <w:sz w:val="16"/>
              </w:rPr>
              <w:t>SUPPORTING</w:t>
            </w:r>
          </w:p>
        </w:tc>
        <w:tc>
          <w:tcPr>
            <w:tcW w:type="dxa" w:w="1440"/>
            <w:vAlign w:val="top"/>
          </w:tcPr>
          <w:p>
            <w:r>
              <w:rPr>
                <w:rFonts w:ascii="Arial" w:hAnsi="Arial"/>
                <w:sz w:val="16"/>
              </w:rPr>
              <w:t>Student-facing outputs can be syntactically correct and stronger in GPT-4, but course-convention failures require pedagogical framing.</w:t>
            </w:r>
          </w:p>
        </w:tc>
        <w:tc>
          <w:tcPr>
            <w:tcW w:type="dxa" w:w="1440"/>
            <w:vAlign w:val="top"/>
          </w:tcPr>
          <w:p>
            <w:r>
              <w:rPr>
                <w:rFonts w:ascii="Arial" w:hAnsi="Arial"/>
                <w:sz w:val="16"/>
              </w:rPr>
              <w:t>1.5</w:t>
            </w:r>
          </w:p>
        </w:tc>
        <w:tc>
          <w:tcPr>
            <w:tcW w:type="dxa" w:w="1440"/>
            <w:vAlign w:val="top"/>
          </w:tcPr>
          <w:p>
            <w:r>
              <w:rPr>
                <w:rFonts w:ascii="Arial" w:hAnsi="Arial"/>
                <w:sz w:val="16"/>
              </w:rPr>
              <w:t>extension</w:t>
            </w:r>
          </w:p>
        </w:tc>
      </w:tr>
      <w:tr>
        <w:tc>
          <w:tcPr>
            <w:tcW w:type="dxa" w:w="1440"/>
            <w:vAlign w:val="top"/>
          </w:tcPr>
          <w:p>
            <w:r>
              <w:rPr>
                <w:rFonts w:ascii="Arial" w:hAnsi="Arial"/>
                <w:sz w:val="16"/>
              </w:rPr>
              <w:t>takerngsaksiri_students_2024</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Students perceived productivity and tutor-like benefits but 90% expressed over-reliance concerns affecting problem solving and understanding.</w:t>
            </w:r>
          </w:p>
        </w:tc>
        <w:tc>
          <w:tcPr>
            <w:tcW w:type="dxa" w:w="1440"/>
            <w:vAlign w:val="top"/>
          </w:tcPr>
          <w:p>
            <w:r>
              <w:rPr>
                <w:rFonts w:ascii="Arial" w:hAnsi="Arial"/>
                <w:sz w:val="16"/>
              </w:rPr>
              <w:t>1.5</w:t>
            </w:r>
          </w:p>
        </w:tc>
        <w:tc>
          <w:tcPr>
            <w:tcW w:type="dxa" w:w="1440"/>
            <w:vAlign w:val="top"/>
          </w:tcPr>
          <w:p>
            <w:r>
              <w:rPr>
                <w:rFonts w:ascii="Arial" w:hAnsi="Arial"/>
                <w:sz w:val="16"/>
              </w:rPr>
              <w:t>tension</w:t>
            </w:r>
          </w:p>
        </w:tc>
      </w:tr>
      <w:tr>
        <w:tc>
          <w:tcPr>
            <w:tcW w:type="dxa" w:w="1440"/>
            <w:vAlign w:val="top"/>
          </w:tcPr>
          <w:p>
            <w:r>
              <w:rPr>
                <w:rFonts w:ascii="Arial" w:hAnsi="Arial"/>
                <w:sz w:val="16"/>
              </w:rPr>
              <w:t>shirafuji_exploring_2023</w:t>
            </w:r>
          </w:p>
        </w:tc>
        <w:tc>
          <w:tcPr>
            <w:tcW w:type="dxa" w:w="1440"/>
            <w:vAlign w:val="top"/>
          </w:tcPr>
          <w:p>
            <w:r>
              <w:rPr>
                <w:rFonts w:ascii="Arial" w:hAnsi="Arial"/>
                <w:sz w:val="16"/>
              </w:rPr>
              <w:t>A1</w:t>
            </w:r>
          </w:p>
        </w:tc>
        <w:tc>
          <w:tcPr>
            <w:tcW w:type="dxa" w:w="1440"/>
            <w:vAlign w:val="top"/>
          </w:tcPr>
          <w:p>
            <w:r>
              <w:rPr>
                <w:rFonts w:ascii="Arial" w:hAnsi="Arial"/>
                <w:sz w:val="16"/>
              </w:rPr>
              <w:t>SUPPORTING</w:t>
            </w:r>
          </w:p>
        </w:tc>
        <w:tc>
          <w:tcPr>
            <w:tcW w:type="dxa" w:w="1440"/>
            <w:vAlign w:val="top"/>
          </w:tcPr>
          <w:p>
            <w:r>
              <w:rPr>
                <w:rFonts w:ascii="Arial" w:hAnsi="Arial"/>
                <w:sz w:val="16"/>
              </w:rPr>
              <w:t>Programming-problem success varies by model and prompt/problem representation, showing robustness-learning dependence.</w:t>
            </w:r>
          </w:p>
        </w:tc>
        <w:tc>
          <w:tcPr>
            <w:tcW w:type="dxa" w:w="1440"/>
            <w:vAlign w:val="top"/>
          </w:tcPr>
          <w:p>
            <w:r>
              <w:rPr>
                <w:rFonts w:ascii="Arial" w:hAnsi="Arial"/>
                <w:sz w:val="16"/>
              </w:rPr>
              <w:t>1.5</w:t>
            </w:r>
          </w:p>
        </w:tc>
        <w:tc>
          <w:tcPr>
            <w:tcW w:type="dxa" w:w="1440"/>
            <w:vAlign w:val="top"/>
          </w:tcPr>
          <w:p>
            <w:r>
              <w:rPr>
                <w:rFonts w:ascii="Arial" w:hAnsi="Arial"/>
                <w:sz w:val="16"/>
              </w:rPr>
              <w:t>extension</w:t>
            </w:r>
          </w:p>
        </w:tc>
      </w:tr>
      <w:tr>
        <w:tc>
          <w:tcPr>
            <w:tcW w:type="dxa" w:w="1440"/>
            <w:vAlign w:val="top"/>
          </w:tcPr>
          <w:p>
            <w:r>
              <w:rPr>
                <w:rFonts w:ascii="Arial" w:hAnsi="Arial"/>
                <w:sz w:val="16"/>
              </w:rPr>
              <w:t>xu_-ide_2022</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Positive in-IDE NL2Code experience did not reliably translate into speed or correctness improvements.</w:t>
            </w:r>
          </w:p>
        </w:tc>
        <w:tc>
          <w:tcPr>
            <w:tcW w:type="dxa" w:w="1440"/>
            <w:vAlign w:val="top"/>
          </w:tcPr>
          <w:p>
            <w:r>
              <w:rPr>
                <w:rFonts w:ascii="Arial" w:hAnsi="Arial"/>
                <w:sz w:val="16"/>
              </w:rPr>
              <w:t>1.4</w:t>
            </w:r>
          </w:p>
        </w:tc>
        <w:tc>
          <w:tcPr>
            <w:tcW w:type="dxa" w:w="1440"/>
            <w:vAlign w:val="top"/>
          </w:tcPr>
          <w:p>
            <w:r>
              <w:rPr>
                <w:rFonts w:ascii="Arial" w:hAnsi="Arial"/>
                <w:sz w:val="16"/>
              </w:rPr>
              <w:t>tension</w:t>
            </w:r>
          </w:p>
        </w:tc>
      </w:tr>
      <w:tr>
        <w:tc>
          <w:tcPr>
            <w:tcW w:type="dxa" w:w="1440"/>
            <w:vAlign w:val="top"/>
          </w:tcPr>
          <w:p>
            <w:r>
              <w:rPr>
                <w:rFonts w:ascii="Arial" w:hAnsi="Arial"/>
                <w:sz w:val="16"/>
              </w:rPr>
              <w:t>eibl_exploring_2025</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Codebase-generation agents reduced some low-level work but low satisfaction followed failures in functionality, quality or communication.</w:t>
            </w:r>
          </w:p>
        </w:tc>
        <w:tc>
          <w:tcPr>
            <w:tcW w:type="dxa" w:w="1440"/>
            <w:vAlign w:val="top"/>
          </w:tcPr>
          <w:p>
            <w:r>
              <w:rPr>
                <w:rFonts w:ascii="Arial" w:hAnsi="Arial"/>
                <w:sz w:val="16"/>
              </w:rPr>
              <w:t>1.4</w:t>
            </w:r>
          </w:p>
        </w:tc>
        <w:tc>
          <w:tcPr>
            <w:tcW w:type="dxa" w:w="1440"/>
            <w:vAlign w:val="top"/>
          </w:tcPr>
          <w:p>
            <w:r>
              <w:rPr>
                <w:rFonts w:ascii="Arial" w:hAnsi="Arial"/>
                <w:sz w:val="16"/>
              </w:rPr>
              <w:t>tension</w:t>
            </w:r>
          </w:p>
        </w:tc>
      </w:tr>
      <w:tr>
        <w:tc>
          <w:tcPr>
            <w:tcW w:type="dxa" w:w="1440"/>
            <w:vAlign w:val="top"/>
          </w:tcPr>
          <w:p>
            <w:r>
              <w:rPr>
                <w:rFonts w:ascii="Arial" w:hAnsi="Arial"/>
                <w:sz w:val="16"/>
              </w:rPr>
              <w:t>corso_generating_2024</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Generated Java methods varied by correctness and quality across assistants, supporting comparative validation before acceptance.</w:t>
            </w:r>
          </w:p>
        </w:tc>
        <w:tc>
          <w:tcPr>
            <w:tcW w:type="dxa" w:w="1440"/>
            <w:vAlign w:val="top"/>
          </w:tcPr>
          <w:p>
            <w:r>
              <w:rPr>
                <w:rFonts w:ascii="Arial" w:hAnsi="Arial"/>
                <w:sz w:val="16"/>
              </w:rPr>
              <w:t>1.3</w:t>
            </w:r>
          </w:p>
        </w:tc>
        <w:tc>
          <w:tcPr>
            <w:tcW w:type="dxa" w:w="1440"/>
            <w:vAlign w:val="top"/>
          </w:tcPr>
          <w:p>
            <w:r>
              <w:rPr>
                <w:rFonts w:ascii="Arial" w:hAnsi="Arial"/>
                <w:sz w:val="16"/>
              </w:rPr>
              <w:t>replication</w:t>
            </w:r>
          </w:p>
        </w:tc>
      </w:tr>
      <w:tr>
        <w:tc>
          <w:tcPr>
            <w:tcW w:type="dxa" w:w="1440"/>
            <w:vAlign w:val="top"/>
          </w:tcPr>
          <w:p>
            <w:r>
              <w:rPr>
                <w:rFonts w:ascii="Arial" w:hAnsi="Arial"/>
                <w:sz w:val="16"/>
              </w:rPr>
              <w:t>sagodi_methodology_2024</w:t>
            </w:r>
          </w:p>
        </w:tc>
        <w:tc>
          <w:tcPr>
            <w:tcW w:type="dxa" w:w="1440"/>
            <w:vAlign w:val="top"/>
          </w:tcPr>
          <w:p>
            <w:r>
              <w:rPr>
                <w:rFonts w:ascii="Arial" w:hAnsi="Arial"/>
                <w:sz w:val="16"/>
              </w:rPr>
              <w:t>A2</w:t>
            </w:r>
          </w:p>
        </w:tc>
        <w:tc>
          <w:tcPr>
            <w:tcW w:type="dxa" w:w="1440"/>
            <w:vAlign w:val="top"/>
          </w:tcPr>
          <w:p>
            <w:r>
              <w:rPr>
                <w:rFonts w:ascii="Arial" w:hAnsi="Arial"/>
                <w:sz w:val="16"/>
              </w:rPr>
              <w:t>SUPPORTING</w:t>
            </w:r>
          </w:p>
        </w:tc>
        <w:tc>
          <w:tcPr>
            <w:tcW w:type="dxa" w:w="1440"/>
            <w:vAlign w:val="top"/>
          </w:tcPr>
          <w:p>
            <w:r>
              <w:rPr>
                <w:rFonts w:ascii="Arial" w:hAnsi="Arial"/>
                <w:sz w:val="16"/>
              </w:rPr>
              <w:t>Multi-metric evaluation shows correctness alone cannot ground trust because complexity, efficiency and code size also vary.</w:t>
            </w:r>
          </w:p>
        </w:tc>
        <w:tc>
          <w:tcPr>
            <w:tcW w:type="dxa" w:w="1440"/>
            <w:vAlign w:val="top"/>
          </w:tcPr>
          <w:p>
            <w:r>
              <w:rPr>
                <w:rFonts w:ascii="Arial" w:hAnsi="Arial"/>
                <w:sz w:val="16"/>
              </w:rPr>
              <w:t>1.3</w:t>
            </w:r>
          </w:p>
        </w:tc>
        <w:tc>
          <w:tcPr>
            <w:tcW w:type="dxa" w:w="1440"/>
            <w:vAlign w:val="top"/>
          </w:tcPr>
          <w:p>
            <w:r>
              <w:rPr>
                <w:rFonts w:ascii="Arial" w:hAnsi="Arial"/>
                <w:sz w:val="16"/>
              </w:rPr>
              <w:t>extension</w:t>
            </w:r>
          </w:p>
        </w:tc>
      </w:tr>
    </w:tbl>
    <w:p>
      <w:pPr>
        <w:pStyle w:val="Heading1"/>
      </w:pPr>
      <w:r>
        <w:t>2. Analytical synthesis</w:t>
      </w:r>
    </w:p>
    <w:p>
      <w:r>
        <w:t>The cross-cutting SUPPORT pattern is a calibration problem rather than a simple adoption problem. Across trust, experience, and learning evidence, effective AI-assisted programming depends on users repeatedly aligning expectations, reliance, and skill with what the tool can actually support. Vaithilingam et al. show this tension in miniature: Copilot was valued as a starting point, yet participants struggled when generated code was difficult to understand or debug, producing both fragile reliance and abandonment [1]. Liang et al. broaden the pattern at survey scale: developers use assistants for acceleration and exploration, but verification, documentation lookup, poor relevance, and debugging remain recurring costs [2]. Tan et al. identify the same condition from the perspective of developer needs: usefulness varies with task granularity, output format, logic, style, and explainability, so acceptance requires situated judgement rather than raw completion [3]. Mendes et al. therefore offer the most accurate behavioural framing: assistants can be a “little motor”, but steering, review, and responsibility remain human work [4].</w:t>
      </w:r>
    </w:p>
    <w:p>
      <w:r>
        <w:t>This calibration burden is systematically harder for novices and less experienced users because the activity that makes assistance safe—checking, interpreting, testing, and rejecting plausible code—is precisely what weaker users have less capacity to perform. Hellas et al. show that LLM responses to beginner help requests can improve accessibility, but also miss issues or introduce false positives [9]. Rahe and Maalej similarly report syntactically valid student-facing outputs, especially from GPT-4, but course-convention failures mean that formal correctness is not the same as pedagogical suitability [15]. Takerngsaksiri et al. add that students perceive syntax, productivity, alternatives, and tutor-like benefits, yet 90% also worry that over-reliance could weaken problem solving and understanding [16]. The novice risk is therefore not only that tools sometimes fail; it is that their failures can be difficult for novices to recognise.</w:t>
      </w:r>
    </w:p>
    <w:p>
      <w:r>
        <w:t>The second cross-cutting pattern is a perception-reality gap. SUPPORT evidence repeatedly separates satisfaction, perceived productivity, or visible output volume from verified outcomes. Xu et al. found positive experience with an in-IDE NL2Code assistant without reliable improvements in speed or correctness [18]. Imai’s study similarly cautions that more generated lines of code do not establish better pair-programming quality, especially when later deletion is treated as a quality signal [8]. Bento et al. report very high student satisfaction, but the same evidence flags over-reliance and uneven quality as interpretive limits [10]. Suryavanshi and Jadhav also connect perceived productivity gains with reduced critical engagement, reinforcing that subjective benefit can coexist with poorer verification behaviour [13].</w:t>
      </w:r>
    </w:p>
    <w:p>
      <w:r>
        <w:t>Trust evidence explains why this perception-reality gap matters. Dakhel et al. frame Copilot as both asset and liability because useful generation coexists with wrong, insecure, or unstable outputs [7]. Min et al. extend this beyond ordinary accuracy by showing that semantically equivalent prompts can expose self-consistency problems, which is especially important when learners or practitioners treat one successful output as evidence of general competence [6]. Nascimento et al. provide a domain-specific analogue in data-science coding: tools can exceed lower success baselines, but diverse tasks still require task-level validation [12]. Corso et al. and Ságodi et al. further show that generated code must be assessed across quality dimensions, not only surface plausibility or a single correctness measure [20, 21].</w:t>
      </w:r>
    </w:p>
    <w:p>
      <w:r>
        <w:t>Dependency and deskilling risks emerge where these patterns interact. Rasnayaka et al. show that project users value LLMs for ideation, code support, and explanation while also expressing concerns about dependence and correctness [5]. In education, the same risk becomes sharper: students may use assistants as tutors or scaffolds, but may also outsource problem decomposition, syntax recall, and debugging judgement before those skills are stable [16]. Haeggström’s hands-on practitioner evidence points to a safer pathway: trust and adoption grow through iterative testing, prompt refinement, and selective use rather than blanket confidence [11]. Madampe et al. reinforce the boundary condition in privacy-related generation, where contextual judgement and privacy correctness cannot be delegated to the tool [14].</w:t>
      </w:r>
    </w:p>
    <w:p>
      <w:r>
        <w:t>The cluster also contains tensions. Automation can reduce low-level work, but Eibl et al. show that higher automation can generate low satisfaction when functionality, code quality, or communication fails [19]. Stronger models can improve programming-problem performance, yet Shirafuji et al. show that success remains sensitive to model and problem representation [17]. AI can support exploration and learning, yet the same exploration can become unearned confidence when users lack verification routines. The most visible research gaps are longitudinal: SUPPORT evidence says little about whether calibrated use improves over months, whether dependency declines with instruction, or how novices transition from scaffolded use to independent competence. Coverage is also thin for under-reliance, accessibility beyond beginner support, and comparative educational designs that measure both immediate task completion and durable conceptual learning.</w:t>
      </w:r>
    </w:p>
    <w:p>
      <w:pPr>
        <w:pStyle w:val="Heading1"/>
      </w:pPr>
      <w:r>
        <w:t>3. Proposition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vAlign w:val="top"/>
          </w:tcPr>
          <w:p>
            <w:r>
              <w:rPr>
                <w:rFonts w:ascii="Arial" w:hAnsi="Arial"/>
                <w:sz w:val="16"/>
              </w:rPr>
              <w:t>Proposition ID</w:t>
            </w:r>
          </w:p>
        </w:tc>
        <w:tc>
          <w:tcPr>
            <w:tcW w:type="dxa" w:w="1728"/>
            <w:vAlign w:val="top"/>
          </w:tcPr>
          <w:p>
            <w:r>
              <w:rPr>
                <w:rFonts w:ascii="Arial" w:hAnsi="Arial"/>
                <w:sz w:val="16"/>
              </w:rPr>
              <w:t>Statement</w:t>
            </w:r>
          </w:p>
        </w:tc>
        <w:tc>
          <w:tcPr>
            <w:tcW w:type="dxa" w:w="1728"/>
            <w:vAlign w:val="top"/>
          </w:tcPr>
          <w:p>
            <w:r>
              <w:rPr>
                <w:rFonts w:ascii="Arial" w:hAnsi="Arial"/>
                <w:sz w:val="16"/>
              </w:rPr>
              <w:t>Supporting bibkeys</w:t>
            </w:r>
          </w:p>
        </w:tc>
        <w:tc>
          <w:tcPr>
            <w:tcW w:type="dxa" w:w="1728"/>
            <w:vAlign w:val="top"/>
          </w:tcPr>
          <w:p>
            <w:r>
              <w:rPr>
                <w:rFonts w:ascii="Arial" w:hAnsi="Arial"/>
                <w:sz w:val="16"/>
              </w:rPr>
              <w:t>Confidence level</w:t>
            </w:r>
          </w:p>
        </w:tc>
        <w:tc>
          <w:tcPr>
            <w:tcW w:type="dxa" w:w="1728"/>
            <w:vAlign w:val="top"/>
          </w:tcPr>
          <w:p>
            <w:r>
              <w:rPr>
                <w:rFonts w:ascii="Arial" w:hAnsi="Arial"/>
                <w:sz w:val="16"/>
              </w:rPr>
              <w:t>Caveat</w:t>
            </w:r>
          </w:p>
        </w:tc>
      </w:tr>
      <w:tr>
        <w:tc>
          <w:tcPr>
            <w:tcW w:type="dxa" w:w="1728"/>
            <w:vAlign w:val="top"/>
          </w:tcPr>
          <w:p>
            <w:r>
              <w:rPr>
                <w:rFonts w:ascii="Arial" w:hAnsi="Arial"/>
                <w:sz w:val="16"/>
              </w:rPr>
              <w:t>P2.2-1</w:t>
            </w:r>
          </w:p>
        </w:tc>
        <w:tc>
          <w:tcPr>
            <w:tcW w:type="dxa" w:w="1728"/>
            <w:vAlign w:val="top"/>
          </w:tcPr>
          <w:p>
            <w:r>
              <w:rPr>
                <w:rFonts w:ascii="Arial" w:hAnsi="Arial"/>
                <w:sz w:val="16"/>
              </w:rPr>
              <w:t>AI-assisted programming improves outcomes only when users can inspect, test, and contextualise generated output rather than treating completion as sufficient.</w:t>
            </w:r>
          </w:p>
        </w:tc>
        <w:tc>
          <w:tcPr>
            <w:tcW w:type="dxa" w:w="1728"/>
            <w:vAlign w:val="top"/>
          </w:tcPr>
          <w:p>
            <w:r>
              <w:rPr>
                <w:rFonts w:ascii="Arial" w:hAnsi="Arial"/>
                <w:sz w:val="16"/>
              </w:rPr>
              <w:t>vaithilingam_expectation_2022; liang_large-scale_2024; tan_how_2024; mendes_youre_2024</w:t>
            </w:r>
          </w:p>
        </w:tc>
        <w:tc>
          <w:tcPr>
            <w:tcW w:type="dxa" w:w="1728"/>
            <w:vAlign w:val="top"/>
          </w:tcPr>
          <w:p>
            <w:r>
              <w:rPr>
                <w:rFonts w:ascii="Arial" w:hAnsi="Arial"/>
                <w:sz w:val="16"/>
              </w:rPr>
              <w:t>high</w:t>
            </w:r>
          </w:p>
        </w:tc>
        <w:tc>
          <w:tcPr>
            <w:tcW w:type="dxa" w:w="1728"/>
            <w:vAlign w:val="top"/>
          </w:tcPr>
          <w:p>
            <w:r>
              <w:rPr>
                <w:rFonts w:ascii="Arial" w:hAnsi="Arial"/>
                <w:sz w:val="16"/>
              </w:rPr>
              <w:t>The proposition is strongest for SUPPORTING usability and practitioner studies; it is less direct for fully agentic workflows.</w:t>
            </w:r>
          </w:p>
        </w:tc>
      </w:tr>
      <w:tr>
        <w:tc>
          <w:tcPr>
            <w:tcW w:type="dxa" w:w="1728"/>
            <w:vAlign w:val="top"/>
          </w:tcPr>
          <w:p>
            <w:r>
              <w:rPr>
                <w:rFonts w:ascii="Arial" w:hAnsi="Arial"/>
                <w:sz w:val="16"/>
              </w:rPr>
              <w:t>P2.2-2</w:t>
            </w:r>
          </w:p>
        </w:tc>
        <w:tc>
          <w:tcPr>
            <w:tcW w:type="dxa" w:w="1728"/>
            <w:vAlign w:val="top"/>
          </w:tcPr>
          <w:p>
            <w:r>
              <w:rPr>
                <w:rFonts w:ascii="Arial" w:hAnsi="Arial"/>
                <w:sz w:val="16"/>
              </w:rPr>
              <w:t>Novices will show a larger gap between perceived usefulness and verified learning quality than experienced users because they have weaker error-detection and code-interpretation resources.</w:t>
            </w:r>
          </w:p>
        </w:tc>
        <w:tc>
          <w:tcPr>
            <w:tcW w:type="dxa" w:w="1728"/>
            <w:vAlign w:val="top"/>
          </w:tcPr>
          <w:p>
            <w:r>
              <w:rPr>
                <w:rFonts w:ascii="Arial" w:hAnsi="Arial"/>
                <w:sz w:val="16"/>
              </w:rPr>
              <w:t>hellas_exploring_2023; takerngsaksiri_students_2024; rahe_how_2025; bento_leveraging_2025</w:t>
            </w:r>
          </w:p>
        </w:tc>
        <w:tc>
          <w:tcPr>
            <w:tcW w:type="dxa" w:w="1728"/>
            <w:vAlign w:val="top"/>
          </w:tcPr>
          <w:p>
            <w:r>
              <w:rPr>
                <w:rFonts w:ascii="Arial" w:hAnsi="Arial"/>
                <w:sz w:val="16"/>
              </w:rPr>
              <w:t>high</w:t>
            </w:r>
          </w:p>
        </w:tc>
        <w:tc>
          <w:tcPr>
            <w:tcW w:type="dxa" w:w="1728"/>
            <w:vAlign w:val="top"/>
          </w:tcPr>
          <w:p>
            <w:r>
              <w:rPr>
                <w:rFonts w:ascii="Arial" w:hAnsi="Arial"/>
                <w:sz w:val="16"/>
              </w:rPr>
              <w:t>Direct longitudinal learning outcomes are thin, so the mechanism is better evidenced than its long-term magnitude.</w:t>
            </w:r>
          </w:p>
        </w:tc>
      </w:tr>
      <w:tr>
        <w:tc>
          <w:tcPr>
            <w:tcW w:type="dxa" w:w="1728"/>
            <w:vAlign w:val="top"/>
          </w:tcPr>
          <w:p>
            <w:r>
              <w:rPr>
                <w:rFonts w:ascii="Arial" w:hAnsi="Arial"/>
                <w:sz w:val="16"/>
              </w:rPr>
              <w:t>P2.2-3</w:t>
            </w:r>
          </w:p>
        </w:tc>
        <w:tc>
          <w:tcPr>
            <w:tcW w:type="dxa" w:w="1728"/>
            <w:vAlign w:val="top"/>
          </w:tcPr>
          <w:p>
            <w:r>
              <w:rPr>
                <w:rFonts w:ascii="Arial" w:hAnsi="Arial"/>
                <w:sz w:val="16"/>
              </w:rPr>
              <w:t>Perceived productivity or satisfaction will overestimate engineering benefit when verification cost, later correction, or code-quality measures are included.</w:t>
            </w:r>
          </w:p>
        </w:tc>
        <w:tc>
          <w:tcPr>
            <w:tcW w:type="dxa" w:w="1728"/>
            <w:vAlign w:val="top"/>
          </w:tcPr>
          <w:p>
            <w:r>
              <w:rPr>
                <w:rFonts w:ascii="Arial" w:hAnsi="Arial"/>
                <w:sz w:val="16"/>
              </w:rPr>
              <w:t>xu_-ide_2022; imai_is_2022; suryavanshi_effects_2025; bento_leveraging_2025</w:t>
            </w:r>
          </w:p>
        </w:tc>
        <w:tc>
          <w:tcPr>
            <w:tcW w:type="dxa" w:w="1728"/>
            <w:vAlign w:val="top"/>
          </w:tcPr>
          <w:p>
            <w:r>
              <w:rPr>
                <w:rFonts w:ascii="Arial" w:hAnsi="Arial"/>
                <w:sz w:val="16"/>
              </w:rPr>
              <w:t>moderate</w:t>
            </w:r>
          </w:p>
        </w:tc>
        <w:tc>
          <w:tcPr>
            <w:tcW w:type="dxa" w:w="1728"/>
            <w:vAlign w:val="top"/>
          </w:tcPr>
          <w:p>
            <w:r>
              <w:rPr>
                <w:rFonts w:ascii="Arial" w:hAnsi="Arial"/>
                <w:sz w:val="16"/>
              </w:rPr>
              <w:t>Evidence mixes A2 and B studies and uses different outcome measures.</w:t>
            </w:r>
          </w:p>
        </w:tc>
      </w:tr>
      <w:tr>
        <w:tc>
          <w:tcPr>
            <w:tcW w:type="dxa" w:w="1728"/>
            <w:vAlign w:val="top"/>
          </w:tcPr>
          <w:p>
            <w:r>
              <w:rPr>
                <w:rFonts w:ascii="Arial" w:hAnsi="Arial"/>
                <w:sz w:val="16"/>
              </w:rPr>
              <w:t>P2.2-4</w:t>
            </w:r>
          </w:p>
        </w:tc>
        <w:tc>
          <w:tcPr>
            <w:tcW w:type="dxa" w:w="1728"/>
            <w:vAlign w:val="top"/>
          </w:tcPr>
          <w:p>
            <w:r>
              <w:rPr>
                <w:rFonts w:ascii="Arial" w:hAnsi="Arial"/>
                <w:sz w:val="16"/>
              </w:rPr>
              <w:t>Self-consistency, robustness across prompt representations, and domain-level validation will predict safe reliance better than single-run accuracy.</w:t>
            </w:r>
          </w:p>
        </w:tc>
        <w:tc>
          <w:tcPr>
            <w:tcW w:type="dxa" w:w="1728"/>
            <w:vAlign w:val="top"/>
          </w:tcPr>
          <w:p>
            <w:r>
              <w:rPr>
                <w:rFonts w:ascii="Arial" w:hAnsi="Arial"/>
                <w:sz w:val="16"/>
              </w:rPr>
              <w:t>min_beyond_2024; shirafuji_exploring_2023; nascimento_how_2025; sagodi_methodology_2024</w:t>
            </w:r>
          </w:p>
        </w:tc>
        <w:tc>
          <w:tcPr>
            <w:tcW w:type="dxa" w:w="1728"/>
            <w:vAlign w:val="top"/>
          </w:tcPr>
          <w:p>
            <w:r>
              <w:rPr>
                <w:rFonts w:ascii="Arial" w:hAnsi="Arial"/>
                <w:sz w:val="16"/>
              </w:rPr>
              <w:t>high</w:t>
            </w:r>
          </w:p>
        </w:tc>
        <w:tc>
          <w:tcPr>
            <w:tcW w:type="dxa" w:w="1728"/>
            <w:vAlign w:val="top"/>
          </w:tcPr>
          <w:p>
            <w:r>
              <w:rPr>
                <w:rFonts w:ascii="Arial" w:hAnsi="Arial"/>
                <w:sz w:val="16"/>
              </w:rPr>
              <w:t>The studies support the evaluation logic, but do not all test the same tools or populations.</w:t>
            </w:r>
          </w:p>
        </w:tc>
      </w:tr>
      <w:tr>
        <w:tc>
          <w:tcPr>
            <w:tcW w:type="dxa" w:w="1728"/>
            <w:vAlign w:val="top"/>
          </w:tcPr>
          <w:p>
            <w:r>
              <w:rPr>
                <w:rFonts w:ascii="Arial" w:hAnsi="Arial"/>
                <w:sz w:val="16"/>
              </w:rPr>
              <w:t>P2.2-5</w:t>
            </w:r>
          </w:p>
        </w:tc>
        <w:tc>
          <w:tcPr>
            <w:tcW w:type="dxa" w:w="1728"/>
            <w:vAlign w:val="top"/>
          </w:tcPr>
          <w:p>
            <w:r>
              <w:rPr>
                <w:rFonts w:ascii="Arial" w:hAnsi="Arial"/>
                <w:sz w:val="16"/>
              </w:rPr>
              <w:t>AI-tool dependency risk increases when users employ assistants for explanation, ideation, or tutor-like support without assessment routines requiring rationale, tests, and reflection.</w:t>
            </w:r>
          </w:p>
        </w:tc>
        <w:tc>
          <w:tcPr>
            <w:tcW w:type="dxa" w:w="1728"/>
            <w:vAlign w:val="top"/>
          </w:tcPr>
          <w:p>
            <w:r>
              <w:rPr>
                <w:rFonts w:ascii="Arial" w:hAnsi="Arial"/>
                <w:sz w:val="16"/>
              </w:rPr>
              <w:t>rasnayaka_empirical_2024; takerngsaksiri_students_2024; dakhel_github_2023; hellas_exploring_2023</w:t>
            </w:r>
          </w:p>
        </w:tc>
        <w:tc>
          <w:tcPr>
            <w:tcW w:type="dxa" w:w="1728"/>
            <w:vAlign w:val="top"/>
          </w:tcPr>
          <w:p>
            <w:r>
              <w:rPr>
                <w:rFonts w:ascii="Arial" w:hAnsi="Arial"/>
                <w:sz w:val="16"/>
              </w:rPr>
              <w:t>high</w:t>
            </w:r>
          </w:p>
        </w:tc>
        <w:tc>
          <w:tcPr>
            <w:tcW w:type="dxa" w:w="1728"/>
            <w:vAlign w:val="top"/>
          </w:tcPr>
          <w:p>
            <w:r>
              <w:rPr>
                <w:rFonts w:ascii="Arial" w:hAnsi="Arial"/>
                <w:sz w:val="16"/>
              </w:rPr>
              <w:t>Dependency is often self-reported or inferred from instability; causal evidence remains limited.</w:t>
            </w:r>
          </w:p>
        </w:tc>
      </w:tr>
      <w:tr>
        <w:tc>
          <w:tcPr>
            <w:tcW w:type="dxa" w:w="1728"/>
            <w:vAlign w:val="top"/>
          </w:tcPr>
          <w:p>
            <w:r>
              <w:rPr>
                <w:rFonts w:ascii="Arial" w:hAnsi="Arial"/>
                <w:sz w:val="16"/>
              </w:rPr>
              <w:t>P2.2-6</w:t>
            </w:r>
          </w:p>
        </w:tc>
        <w:tc>
          <w:tcPr>
            <w:tcW w:type="dxa" w:w="1728"/>
            <w:vAlign w:val="top"/>
          </w:tcPr>
          <w:p>
            <w:r>
              <w:rPr>
                <w:rFonts w:ascii="Arial" w:hAnsi="Arial"/>
                <w:sz w:val="16"/>
              </w:rPr>
              <w:t>Higher automation will not reliably improve developer experience unless observability, communication, and control improve alongside task completion.</w:t>
            </w:r>
          </w:p>
        </w:tc>
        <w:tc>
          <w:tcPr>
            <w:tcW w:type="dxa" w:w="1728"/>
            <w:vAlign w:val="top"/>
          </w:tcPr>
          <w:p>
            <w:r>
              <w:rPr>
                <w:rFonts w:ascii="Arial" w:hAnsi="Arial"/>
                <w:sz w:val="16"/>
              </w:rPr>
              <w:t>eibl_exploring_2025; chen_code_2025; tan_how_2024</w:t>
            </w:r>
          </w:p>
        </w:tc>
        <w:tc>
          <w:tcPr>
            <w:tcW w:type="dxa" w:w="1728"/>
            <w:vAlign w:val="top"/>
          </w:tcPr>
          <w:p>
            <w:r>
              <w:rPr>
                <w:rFonts w:ascii="Arial" w:hAnsi="Arial"/>
                <w:sz w:val="16"/>
              </w:rPr>
              <w:t>high</w:t>
            </w:r>
          </w:p>
        </w:tc>
        <w:tc>
          <w:tcPr>
            <w:tcW w:type="dxa" w:w="1728"/>
            <w:vAlign w:val="top"/>
          </w:tcPr>
          <w:p>
            <w:r>
              <w:rPr>
                <w:rFonts w:ascii="Arial" w:hAnsi="Arial"/>
                <w:sz w:val="16"/>
              </w:rPr>
              <w:t>One cited paper is from Phase 1.4 only and the automation forms differ across studies.</w:t>
            </w:r>
          </w:p>
        </w:tc>
      </w:tr>
    </w:tbl>
    <w:p>
      <w:pPr>
        <w:pStyle w:val="Heading1"/>
      </w:pPr>
      <w:r>
        <w:t>4. References</w:t>
      </w:r>
    </w:p>
    <w:p>
      <w:r>
        <w:t>[1] Expectation vs. Experience: Evaluating the Usability of Code Generation Tools Powered by Large Language Models. Vaithilingam, Priyan; Zhang, Tianyi; Glassman, Elena L., 2022. Bibkey: vaithilingam_expectation_2022.</w:t>
      </w:r>
    </w:p>
    <w:p>
      <w:r>
        <w:t>[2] A Large-Scale Survey on the Usability of AI Programming Assistants: Successes and Challenges. Liang, Jenny T.; Yang, Chenyang; Myers, Brad A., 2024. Bibkey: liang_large-scale_2024.</w:t>
      </w:r>
    </w:p>
    <w:p>
      <w:r>
        <w:t>[3] How Far are AI-powered Programming Assistants from Meeting Developers' Needs?. Tan, Xin; Long, Xiao; Ni, Xianjun; Zhu, Yinghao; Jiang, Jing; Zhang, Li, 2024. Bibkey: tan_how_2024.</w:t>
      </w:r>
    </w:p>
    <w:p>
      <w:r>
        <w:t>[4] "You're on a bicycle with a little motor": Benefits and Challenges of Using AI Code Assistants. Mendes, Wendy; Souza, Samara; De Souza, Cleidson, 2024. Bibkey: mendes_youre_2024.</w:t>
      </w:r>
    </w:p>
    <w:p>
      <w:r>
        <w:t>[5] An Empirical Study on Usage and Perceptions of LLMs in a Software Engineering Project. Rasnayaka, Sanka; Wang, Guanlin; Shariffdeen, Ridwan; Iyer, Ganesh Neelakanta, 2024. Bibkey: rasnayaka_empirical_2024.</w:t>
      </w:r>
    </w:p>
    <w:p>
      <w:r>
        <w:t>[6] Beyond Accuracy: Evaluating Self-Consistency of Code Large Language Models with IdentityChain. Min, Marcus J.; Ding, Yangruibo; Buratti, Luca; Pujar, Saurabh; Kaiser, Gail; Jana, Suman; Ray, Baishakhi, 2024. Bibkey: min_beyond_2024.</w:t>
      </w:r>
    </w:p>
    <w:p>
      <w:r>
        <w:t>[7] GitHub Copilot AI Pair Programmer: Asset or Liability?. Dakhel, Arghavan Moradi; Majdinasab, Vahid; Nikanjam, Amin; Khomh, Foutse; Desmarais, Michel C.; Jiang, Zhen Ming, 2023. Bibkey: dakhel_github_2023.</w:t>
      </w:r>
    </w:p>
    <w:p>
      <w:r>
        <w:t>[8] Is GitHub Copilot a Substitute for Human Pair-programming? An Empirical Study. Imai, Saki, 2022. Bibkey: imai_is_2022.</w:t>
      </w:r>
    </w:p>
    <w:p>
      <w:r>
        <w:t>[9] Exploring the Responses of Large Language Models to Beginner Programmers’ Help Requests. Hellas, Arto; Leinonen, Juho; Sarsa, Sami; Koutcheme, Charles; Kujanpää, Lilja; Sorva, Juha, 2023. Bibkey: hellas_exploring_2023.</w:t>
      </w:r>
    </w:p>
    <w:p>
      <w:r>
        <w:t>[10] Leveraging AI Tools in Engineering Education: Promise and Pitfalls of AI in Software Development. Bento, Antonio Carlos; Silva, José Reinaldo; Barretto, Marcos Ribeiro Pereira; Camacho-León, Sérgio; Torres-Torres, Elsa Yolanda, 2025. Bibkey: bento_leveraging_2025.</w:t>
      </w:r>
    </w:p>
    <w:p>
      <w:r>
        <w:t>[11] Hands-on Use and Adaptation of AI in Developing and Testing Software Applications. Haeggström, Märta, 2024. Bibkey: haeggstrom_hands-use_2024.</w:t>
      </w:r>
    </w:p>
    <w:p>
      <w:r>
        <w:t>[12] How Effective are LLMs for Data Science Coding? A Controlled Experiment. Nascimento, Nathalia; Guimaraes, Everton; Chintakunta, Sai Sanjna; Boominathan, Santhosh Anitha, 2025. Bibkey: nascimento_how_2025.</w:t>
      </w:r>
    </w:p>
    <w:p>
      <w:r>
        <w:t>[13] The Effects of AI-Assisted Programming in Software Engineering: A Study on GitHub Copilot. Suryavanshi, Pradnya Niwas; Jadhav, Dr Ramesh D, 2025. Bibkey: suryavanshi_effects_2025.</w:t>
      </w:r>
    </w:p>
    <w:p>
      <w:r>
        <w:t>[14] How Are We Doing With Using AI-Based Programming Assistants For Privacy-Related Code Generation? The Developers' Experience. Madampe, Kashumi; Grundy, John; Arachchilage, Nalin, 2025. Bibkey: madampe_how_2025.</w:t>
      </w:r>
    </w:p>
    <w:p>
      <w:r>
        <w:t>[15] How Do Programming Students Use Generative AI?. Rahe, Christian; Maalej, Walid, 2025. Bibkey: rahe_how_2025.</w:t>
      </w:r>
    </w:p>
    <w:p>
      <w:r>
        <w:t>[16] Students' Perspectives on AI Code Completion: Benefits and Challenges. Takerngsaksiri, Wannita; Warusavitarne, Cleshan; Yaacoub, Christian; Keng Hou, Matthew Hee; Tantithamthavorn, Chakkrit, 2024. Bibkey: takerngsaksiri_students_2024.</w:t>
      </w:r>
    </w:p>
    <w:p>
      <w:r>
        <w:t>[17] Exploring the Robustness of Large Language Models for Solving Programming Problems. Shirafuji, Atsushi; Watanobe, Yutaka; Ito, Takumi; Morishita, Makoto; Nakamura, Yuki; Oda, Yusuke; Suzuki, Jun, 2023. Bibkey: shirafuji_exploring_2023.</w:t>
      </w:r>
    </w:p>
    <w:p>
      <w:r>
        <w:t>[18] In-IDE Code Generation from Natural Language: Promise and Challenges. Xu, Frank F.; Vasilescu, Bogdan; Neubig, Graham, 2022. Bibkey: xu_-ide_2022.</w:t>
      </w:r>
    </w:p>
    <w:p>
      <w:r>
        <w:t>[19] Exploring the Challenges and Opportunities of AI-assisted Codebase Generation. Eibl, Philipp; Sabouri, Sadra; Chattopadhyay, Souti, 2025. Bibkey: eibl_exploring_2025.</w:t>
      </w:r>
    </w:p>
    <w:p>
      <w:r>
        <w:t>[20] Generating Java Methods: An Empirical Assessment of Four AI-Based Code Assistants. Corso, Vincenzo; Mariani, Leonardo; Micucci, Daniela; Riganelli, Oliviero, 2024. Bibkey: corso_generating_2024.</w:t>
      </w:r>
    </w:p>
    <w:p>
      <w:r>
        <w:t>[21] Methodology for Code Synthesis Evaluation of LLMs Presented by a Case Study of ChatGPT and Copilot. Ságodi, Zoltán; Siket, István; Ferenc, Rudolf, 2024. Bibkey: sagodi_methodology_2024.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