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2.3 — NB4 HAI SUPPORT: Consolidated HAI SUPPORT Evidence Profile</w:t>
      </w:r>
    </w:p>
    <w:p>
      <w:pPr>
        <w:jc w:val="center"/>
      </w:pPr>
      <w:r>
        <w:rPr>
          <w:i/>
          <w:sz w:val="20"/>
        </w:rPr>
        <w:t>AI-Assisted Programming in Software Engineering: A Systematic Literature Review and Socio-Technical Perspective</w:t>
      </w:r>
    </w:p>
    <w:p>
      <w:r>
        <w:t>Scope and validation note. This artefact consolidates only SUPPORTING NB4_HAI_SUPPORT evidence from Phase 1.1-1.6 and Phase 2.1-2.2. Bibkeys were checked literally against NB4_HAI_Support.bib. Quality tiers and segments were checked in Relación de Estudios.xlsx. Reference metadata were resolved from NB4_HAI_Support.csv through Zotero keys. REMOVE_CANDIDATE papers are not cited as evidence.</w:t>
      </w:r>
    </w:p>
    <w:p>
      <w:pPr>
        <w:pStyle w:val="Heading1"/>
      </w:pPr>
      <w:r>
        <w:t>1. Corpus evidence summary table</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102"/>
            <w:shd w:fill="D9EAF7"/>
          </w:tcPr>
          <w:p>
            <w:r/>
            <w:r>
              <w:rPr>
                <w:b/>
                <w:sz w:val="16"/>
              </w:rPr>
              <w:t>Sub-topic</w:t>
            </w:r>
          </w:p>
        </w:tc>
        <w:tc>
          <w:tcPr>
            <w:tcW w:type="dxa" w:w="2102"/>
            <w:shd w:fill="D9EAF7"/>
          </w:tcPr>
          <w:p>
            <w:r/>
            <w:r>
              <w:rPr>
                <w:b/>
                <w:sz w:val="16"/>
              </w:rPr>
              <w:t>SUPPORTING papers contributing</w:t>
            </w:r>
          </w:p>
        </w:tc>
        <w:tc>
          <w:tcPr>
            <w:tcW w:type="dxa" w:w="2102"/>
            <w:shd w:fill="D9EAF7"/>
          </w:tcPr>
          <w:p>
            <w:r/>
            <w:r>
              <w:rPr>
                <w:b/>
                <w:sz w:val="16"/>
              </w:rPr>
              <w:t>Strongest anchor(s)</w:t>
            </w:r>
          </w:p>
        </w:tc>
        <w:tc>
          <w:tcPr>
            <w:tcW w:type="dxa" w:w="2102"/>
            <w:shd w:fill="D9EAF7"/>
          </w:tcPr>
          <w:p>
            <w:r/>
            <w:r>
              <w:rPr>
                <w:b/>
                <w:sz w:val="16"/>
              </w:rPr>
              <w:t>Confidence level</w:t>
            </w:r>
          </w:p>
        </w:tc>
        <w:tc>
          <w:tcPr>
            <w:tcW w:type="dxa" w:w="2102"/>
            <w:shd w:fill="D9EAF7"/>
          </w:tcPr>
          <w:p>
            <w:r/>
            <w:r>
              <w:rPr>
                <w:b/>
                <w:sz w:val="16"/>
              </w:rPr>
              <w:t>Key caveat for Phase 3 use</w:t>
            </w:r>
          </w:p>
        </w:tc>
      </w:tr>
      <w:tr>
        <w:tc>
          <w:tcPr>
            <w:tcW w:type="dxa" w:w="2102"/>
            <w:vAlign w:val="top"/>
          </w:tcPr>
          <w:p>
            <w:r/>
            <w:r>
              <w:rPr>
                <w:b w:val="0"/>
                <w:sz w:val="16"/>
              </w:rPr>
              <w:t>Prompting dynamics and conversational strategies</w:t>
            </w:r>
          </w:p>
        </w:tc>
        <w:tc>
          <w:tcPr>
            <w:tcW w:type="dxa" w:w="2102"/>
            <w:vAlign w:val="top"/>
          </w:tcPr>
          <w:p>
            <w:r/>
            <w:r>
              <w:rPr>
                <w:b w:val="0"/>
                <w:sz w:val="16"/>
              </w:rPr>
              <w:t>li_prompting_2024; fayed_prompt-driven_2026; mastropaolo_robustness_2023; shirafuji_exploring_2023; rahe_how_2025; waseem_chatgpt_2024; ceran_security_2025; xu_-ide_2022</w:t>
            </w:r>
          </w:p>
        </w:tc>
        <w:tc>
          <w:tcPr>
            <w:tcW w:type="dxa" w:w="2102"/>
            <w:vAlign w:val="top"/>
          </w:tcPr>
          <w:p>
            <w:r/>
            <w:r>
              <w:rPr>
                <w:b w:val="0"/>
                <w:sz w:val="16"/>
              </w:rPr>
              <w:t>Phase-specific prompting, iterative prompt-driven development, paraphrase sensitivity, superficial problem-presentation effects, student prompting literacy, project decomposition, and security-specific prompt controls.</w:t>
            </w:r>
          </w:p>
        </w:tc>
        <w:tc>
          <w:tcPr>
            <w:tcW w:type="dxa" w:w="2102"/>
            <w:vAlign w:val="top"/>
          </w:tcPr>
          <w:p>
            <w:r/>
            <w:r>
              <w:rPr>
                <w:b w:val="0"/>
                <w:sz w:val="16"/>
              </w:rPr>
              <w:t>High</w:t>
            </w:r>
          </w:p>
        </w:tc>
        <w:tc>
          <w:tcPr>
            <w:tcW w:type="dxa" w:w="2102"/>
            <w:vAlign w:val="top"/>
          </w:tcPr>
          <w:p>
            <w:r/>
            <w:r>
              <w:rPr>
                <w:b w:val="0"/>
                <w:sz w:val="16"/>
              </w:rPr>
              <w:t>Use as triangulation for prompt sensitivity and prompt literacy, not as evidence that prompt engineering alone removes validation needs.</w:t>
            </w:r>
          </w:p>
        </w:tc>
      </w:tr>
      <w:tr>
        <w:tc>
          <w:tcPr>
            <w:tcW w:type="dxa" w:w="2102"/>
            <w:vAlign w:val="top"/>
          </w:tcPr>
          <w:p>
            <w:r/>
            <w:r>
              <w:rPr>
                <w:b w:val="0"/>
                <w:sz w:val="16"/>
              </w:rPr>
              <w:t>Workflow integration and mediated delegation</w:t>
            </w:r>
          </w:p>
        </w:tc>
        <w:tc>
          <w:tcPr>
            <w:tcW w:type="dxa" w:w="2102"/>
            <w:vAlign w:val="top"/>
          </w:tcPr>
          <w:p>
            <w:r/>
            <w:r>
              <w:rPr>
                <w:b w:val="0"/>
                <w:sz w:val="16"/>
              </w:rPr>
              <w:t>chen_code_2025; xu_-ide_2022; dakhel_github_2023; waseem_chatgpt_2024; eibl_exploring_2025; qiu_locobench_2025; surk_reducing_2026</w:t>
            </w:r>
          </w:p>
        </w:tc>
        <w:tc>
          <w:tcPr>
            <w:tcW w:type="dxa" w:w="2102"/>
            <w:vAlign w:val="top"/>
          </w:tcPr>
          <w:p>
            <w:r/>
            <w:r>
              <w:rPr>
                <w:b w:val="0"/>
                <w:sz w:val="16"/>
              </w:rPr>
              <w:t>Automation moves work towards specification, monitoring, verification, and repair; in-IDE and Copilot outputs require inspection; project and long-context workflows add context and integration burdens.</w:t>
            </w:r>
          </w:p>
        </w:tc>
        <w:tc>
          <w:tcPr>
            <w:tcW w:type="dxa" w:w="2102"/>
            <w:vAlign w:val="top"/>
          </w:tcPr>
          <w:p>
            <w:r/>
            <w:r>
              <w:rPr>
                <w:b w:val="0"/>
                <w:sz w:val="16"/>
              </w:rPr>
              <w:t>High</w:t>
            </w:r>
          </w:p>
        </w:tc>
        <w:tc>
          <w:tcPr>
            <w:tcW w:type="dxa" w:w="2102"/>
            <w:vAlign w:val="top"/>
          </w:tcPr>
          <w:p>
            <w:r/>
            <w:r>
              <w:rPr>
                <w:b w:val="0"/>
                <w:sz w:val="16"/>
              </w:rPr>
              <w:t>Evidence is stronger for solo/project workflows than for long-term enterprise adoption.</w:t>
            </w:r>
          </w:p>
        </w:tc>
      </w:tr>
      <w:tr>
        <w:tc>
          <w:tcPr>
            <w:tcW w:type="dxa" w:w="2102"/>
            <w:vAlign w:val="top"/>
          </w:tcPr>
          <w:p>
            <w:r/>
            <w:r>
              <w:rPr>
                <w:b w:val="0"/>
                <w:sz w:val="16"/>
              </w:rPr>
              <w:t>Trust, verification, and calibrated reliance</w:t>
            </w:r>
          </w:p>
        </w:tc>
        <w:tc>
          <w:tcPr>
            <w:tcW w:type="dxa" w:w="2102"/>
            <w:vAlign w:val="top"/>
          </w:tcPr>
          <w:p>
            <w:r/>
            <w:r>
              <w:rPr>
                <w:b w:val="0"/>
                <w:sz w:val="16"/>
              </w:rPr>
              <w:t>vaithilingam_expectation_2022; liang_large-scale_2024; tan_how_2024; watanabe_use_2024; min_beyond_2024; dakhel_github_2023; ceran_security_2025; gong_how_2025; kim_codexity_2024</w:t>
            </w:r>
          </w:p>
        </w:tc>
        <w:tc>
          <w:tcPr>
            <w:tcW w:type="dxa" w:w="2102"/>
            <w:vAlign w:val="top"/>
          </w:tcPr>
          <w:p>
            <w:r/>
            <w:r>
              <w:rPr>
                <w:b w:val="0"/>
                <w:sz w:val="16"/>
              </w:rPr>
              <w:t>Trust forms through inspectability, context fit, multi-metric validation, self-consistency, and security/privacy analysis; raw completion is not a sufficient basis for reliance.</w:t>
            </w:r>
          </w:p>
        </w:tc>
        <w:tc>
          <w:tcPr>
            <w:tcW w:type="dxa" w:w="2102"/>
            <w:vAlign w:val="top"/>
          </w:tcPr>
          <w:p>
            <w:r/>
            <w:r>
              <w:rPr>
                <w:b w:val="0"/>
                <w:sz w:val="16"/>
              </w:rPr>
              <w:t>High</w:t>
            </w:r>
          </w:p>
        </w:tc>
        <w:tc>
          <w:tcPr>
            <w:tcW w:type="dxa" w:w="2102"/>
            <w:vAlign w:val="top"/>
          </w:tcPr>
          <w:p>
            <w:r/>
            <w:r>
              <w:rPr>
                <w:b w:val="0"/>
                <w:sz w:val="16"/>
              </w:rPr>
              <w:t>Under-reliance evidence is thinner than verification-burden and over-reliance evidence.</w:t>
            </w:r>
          </w:p>
        </w:tc>
      </w:tr>
      <w:tr>
        <w:tc>
          <w:tcPr>
            <w:tcW w:type="dxa" w:w="2102"/>
            <w:vAlign w:val="top"/>
          </w:tcPr>
          <w:p>
            <w:r/>
            <w:r>
              <w:rPr>
                <w:b w:val="0"/>
                <w:sz w:val="16"/>
              </w:rPr>
              <w:t>Developer experience, usability, and perceived value</w:t>
            </w:r>
          </w:p>
        </w:tc>
        <w:tc>
          <w:tcPr>
            <w:tcW w:type="dxa" w:w="2102"/>
            <w:vAlign w:val="top"/>
          </w:tcPr>
          <w:p>
            <w:r/>
            <w:r>
              <w:rPr>
                <w:b w:val="0"/>
                <w:sz w:val="16"/>
              </w:rPr>
              <w:t>vaithilingam_expectation_2022; xu_-ide_2022; liang_large-scale_2024; tan_how_2024; mendes_youre_2024; eibl_exploring_2025; chen_code_2025; bento_leveraging_2025</w:t>
            </w:r>
          </w:p>
        </w:tc>
        <w:tc>
          <w:tcPr>
            <w:tcW w:type="dxa" w:w="2102"/>
            <w:vAlign w:val="top"/>
          </w:tcPr>
          <w:p>
            <w:r/>
            <w:r>
              <w:rPr>
                <w:b w:val="0"/>
                <w:sz w:val="16"/>
              </w:rPr>
              <w:t>Positive experience and satisfaction often exceed measured speed, correctness, or quality gains; usability depends on relevance, format, observability, and ability to debug generated outputs.</w:t>
            </w:r>
          </w:p>
        </w:tc>
        <w:tc>
          <w:tcPr>
            <w:tcW w:type="dxa" w:w="2102"/>
            <w:vAlign w:val="top"/>
          </w:tcPr>
          <w:p>
            <w:r/>
            <w:r>
              <w:rPr>
                <w:b w:val="0"/>
                <w:sz w:val="16"/>
              </w:rPr>
              <w:t>Moderate to high</w:t>
            </w:r>
          </w:p>
        </w:tc>
        <w:tc>
          <w:tcPr>
            <w:tcW w:type="dxa" w:w="2102"/>
            <w:vAlign w:val="top"/>
          </w:tcPr>
          <w:p>
            <w:r/>
            <w:r>
              <w:rPr>
                <w:b w:val="0"/>
                <w:sz w:val="16"/>
              </w:rPr>
              <w:t>Do not treat satisfaction, code volume, or perceived productivity as engineering benefit without validation metrics.</w:t>
            </w:r>
          </w:p>
        </w:tc>
      </w:tr>
      <w:tr>
        <w:tc>
          <w:tcPr>
            <w:tcW w:type="dxa" w:w="2102"/>
            <w:vAlign w:val="top"/>
          </w:tcPr>
          <w:p>
            <w:r/>
            <w:r>
              <w:rPr>
                <w:b w:val="0"/>
                <w:sz w:val="16"/>
              </w:rPr>
              <w:t>Learning, novices, and educational contexts</w:t>
            </w:r>
          </w:p>
        </w:tc>
        <w:tc>
          <w:tcPr>
            <w:tcW w:type="dxa" w:w="2102"/>
            <w:vAlign w:val="top"/>
          </w:tcPr>
          <w:p>
            <w:r/>
            <w:r>
              <w:rPr>
                <w:b w:val="0"/>
                <w:sz w:val="16"/>
              </w:rPr>
              <w:t>hellas_exploring_2023; rahe_how_2025; takerngsaksiri_students_2024; dakhel_github_2023; bento_leveraging_2025; liang_large-scale_2024; nascimento_how_2025</w:t>
            </w:r>
          </w:p>
        </w:tc>
        <w:tc>
          <w:tcPr>
            <w:tcW w:type="dxa" w:w="2102"/>
            <w:vAlign w:val="top"/>
          </w:tcPr>
          <w:p>
            <w:r/>
            <w:r>
              <w:rPr>
                <w:b w:val="0"/>
                <w:sz w:val="16"/>
              </w:rPr>
              <w:t>LLMs can scaffold syntax, alternatives, explanations, and data-science coding, but novice benefit depends on comprehension, false-positive detection, tests, and reflection; 90% of students in one study reported over-reliance concerns.</w:t>
            </w:r>
          </w:p>
        </w:tc>
        <w:tc>
          <w:tcPr>
            <w:tcW w:type="dxa" w:w="2102"/>
            <w:vAlign w:val="top"/>
          </w:tcPr>
          <w:p>
            <w:r/>
            <w:r>
              <w:rPr>
                <w:b w:val="0"/>
                <w:sz w:val="16"/>
              </w:rPr>
              <w:t>High for dependency mechanism; moderate for long-term learning outcomes</w:t>
            </w:r>
          </w:p>
        </w:tc>
        <w:tc>
          <w:tcPr>
            <w:tcW w:type="dxa" w:w="2102"/>
            <w:vAlign w:val="top"/>
          </w:tcPr>
          <w:p>
            <w:r/>
            <w:r>
              <w:rPr>
                <w:b w:val="0"/>
                <w:sz w:val="16"/>
              </w:rPr>
              <w:t>Longitudinal learning outcomes and durable skill transfer remain thin.</w:t>
            </w:r>
          </w:p>
        </w:tc>
      </w:tr>
      <w:tr>
        <w:tc>
          <w:tcPr>
            <w:tcW w:type="dxa" w:w="2102"/>
            <w:vAlign w:val="top"/>
          </w:tcPr>
          <w:p>
            <w:r/>
            <w:r>
              <w:rPr>
                <w:b w:val="0"/>
                <w:sz w:val="16"/>
              </w:rPr>
              <w:t>Robustness, prompt sensitivity, and agentic reliability</w:t>
            </w:r>
          </w:p>
        </w:tc>
        <w:tc>
          <w:tcPr>
            <w:tcW w:type="dxa" w:w="2102"/>
            <w:vAlign w:val="top"/>
          </w:tcPr>
          <w:p>
            <w:r/>
            <w:r>
              <w:rPr>
                <w:b w:val="0"/>
                <w:sz w:val="16"/>
              </w:rPr>
              <w:t>mastropaolo_robustness_2023; shirafuji_exploring_2023; fang_evalooop_2025; min_beyond_2024; zhong_impossiblebench_2025; chen_featbench_2026; yang_codeclash_2026; qiu_locobench_2025; jiang_simcopilot_2025; erhabor_measuring_2024</w:t>
            </w:r>
          </w:p>
        </w:tc>
        <w:tc>
          <w:tcPr>
            <w:tcW w:type="dxa" w:w="2102"/>
            <w:vAlign w:val="top"/>
          </w:tcPr>
          <w:p>
            <w:r/>
            <w:r>
              <w:rPr>
                <w:b w:val="0"/>
                <w:sz w:val="16"/>
              </w:rPr>
              <w:t>Only 27.43% of Copilot paraphrase cases preserved the same correct output; self-consistency, long-context, feature-level, runtime, and benchmark-exploitation studies show reliability limits beyond functional completion.</w:t>
            </w:r>
          </w:p>
        </w:tc>
        <w:tc>
          <w:tcPr>
            <w:tcW w:type="dxa" w:w="2102"/>
            <w:vAlign w:val="top"/>
          </w:tcPr>
          <w:p>
            <w:r/>
            <w:r>
              <w:rPr>
                <w:b w:val="0"/>
                <w:sz w:val="16"/>
              </w:rPr>
              <w:t>High</w:t>
            </w:r>
          </w:p>
        </w:tc>
        <w:tc>
          <w:tcPr>
            <w:tcW w:type="dxa" w:w="2102"/>
            <w:vAlign w:val="top"/>
          </w:tcPr>
          <w:p>
            <w:r/>
            <w:r>
              <w:rPr>
                <w:b w:val="0"/>
                <w:sz w:val="16"/>
              </w:rPr>
              <w:t>Metrics are heterogeneous, so use for reliability governance rather than a single pooled effect size.</w:t>
            </w:r>
          </w:p>
        </w:tc>
      </w:tr>
    </w:tbl>
    <w:p>
      <w:pPr>
        <w:pStyle w:val="Heading1"/>
      </w:pPr>
      <w:r>
        <w:t>2. Consolidated analytical narrative</w:t>
      </w:r>
    </w:p>
    <w:p>
      <w:r>
        <w:t>NB4 HAI SUPPORT adds breadth by showing that human-AI interaction is not exhausted by prompt formulation or immediate code completion. Across the supporting artefacts, prompting becomes a workflow instrument: it specifies lifecycle phase, risk level, repository context and expected review loop rather than merely asking for code. Full-SDLC and prompt-driven development evidence shows prompts distributed across requirements, design, coding, testing and documentation, while conversational project use depends on decomposition, follow-up steering and verification [1], [2], [3]. This is genuinely additive because it moves the HAI argument from interaction skill to socio-technical coordination: the user does not only write better prompts, but also decides how generated artefacts will be inspected, repaired, and integrated.</w:t>
      </w:r>
    </w:p>
    <w:p>
      <w:r>
        <w:t>The first independent claim supported with high confidence is that prompt and context variation are reliability conditions. Mastropaolo et al. reported that only 27.43% of paraphrased Copilot cases preserved the same correct output, and Shirafuji et al. showed that programming success changed under superficial problem transformations [4], [5]. SIMCOPILOT adds that measured reliability changes with the simulated completion context, while security-oriented evidence shows that generic secure-code prompts are weaker than specific secure-design or OWASP-oriented prompts [6], [7]. The claim is therefore not simply that prompts matter; it is that prompt design, representation, and context construction are part of the empirical treatment.</w:t>
      </w:r>
    </w:p>
    <w:p>
      <w:r>
        <w:t>The second high-confidence claim is that AI assistance shifts work rather than eliminating it. In-IDE and Copilot studies show that generated code must be inspected, adapted, and validated before use, and developer support remains task-dependent rather than uniformly reliable [8], [9], [10]. Workflow evidence makes the shift explicit: increasing automation moves developer work into specification, monitoring, verification and repair, while codebase and long-context settings add integration, dependency, and maintainability burdens [11], [12], [13]. This strengthens the manuscript's HAI argument by framing AI-assisted programming as mediated delegation under human control.</w:t>
      </w:r>
    </w:p>
    <w:p>
      <w:r>
        <w:t>The third independent claim, also high-confidence, is that safe reliance depends on calibration and verification capacity. Participants may like generated starting points, but understanding and debugging difficulties create fragile reliance, abandonment, or blind acceptance [14]. Large-scale and developer-needs evidence identifies verification, documentation lookup, relevance, output format, style, and explainability as recurring conditions for acceptance [15], [16]. Trust studies extend this beyond surface correctness: self-consistency, multi-metric evaluation, code-review fit, and security/privacy analysis are needed before treating plausible outputs as dependable [17], [18], [19], [20], [21].</w:t>
      </w:r>
    </w:p>
    <w:p>
      <w:r>
        <w:t>The developer-experience evidence qualifies this positive picture. Perceived usefulness, satisfaction, and output volume repeatedly diverge from measured improvement. Xu et al. found positive experience without reliable speed or correctness gains, Vaithilingam et al. found strong preference despite debugging difficulty, and Imai separates added code volume from pair-programming quality [8], [14], [22]. Practitioner evidence is therefore best read as conditional acceleration: assistants can act as a 'little motor', but steering, domain judgement and responsibility remain with the developer [23]. Agentic coding may increase task completion, but poor observability and weak communication can reduce satisfaction when functionality or quality fails [11], [12].</w:t>
      </w:r>
    </w:p>
    <w:p>
      <w:r>
        <w:t>The learning evidence extends HAI into novice capability and educational design. LLMs can make help more accessible, provide syntax support, alternative solutions, and tutor-like scaffolding, and stronger models may generate syntactically correct student-facing code [24], [25], [26]. However, the same studies show why novices are a high-risk population: generated help can miss beginner issues or introduce false positives, course conventions may be violated even when code is syntactically valid, and 90% of students in one study expressed over-reliance concerns [24], [26], [25]. This evidence supports guided integration with prompts, rationale, testing, and reflection rather than unrestricted substitution.</w:t>
      </w:r>
    </w:p>
    <w:p>
      <w:r>
        <w:t>The most important limitation is that NB4 SUPPORT is triangulating evidence, not the structural backbone. The corpus is broad across prompting, workflow, trust, experience, learning, and robustness, but many claims are based on heterogeneous study designs, metrics, and populations. Robustness studies use paraphrase, self-consistency, long-context, runtime, secure-code, feature-level, and benchmark-exploitation measures; these cannot be pooled into a single effect size [27], [28], [29], [30], [31]. Phase 3 should therefore use NB4 to qualify and triangulate CORE claims, not to replace CORE evidence.</w:t>
      </w:r>
    </w:p>
    <w:p>
      <w:r>
        <w:t>A second limitation is coverage. Evidence is strongest for solo developers, students, controlled tasks, benchmark settings, and project-level prototypes; it is thinner for durable team governance, enterprise longitudinal adoption, accessibility beyond beginner support, and under-reliance. The peripheral papers were excluded from analytical claims because their relevance was limited or indirect, and the remove-candidate papers were excluded entirely because the corpus audit flagged them for potential removal. This exclusion protects the evidence base from overreach, but it also narrows the scope: NB4 cannot independently settle organisational maturity, long-term deskilling, or identity-related accessibility.</w:t>
      </w:r>
    </w:p>
    <w:p>
      <w:r>
        <w:t>Overall, NB4 SUPPORT makes some HAI claims stronger and others more conditional. It strengthens claims that prompt formulation, context construction, verification, and calibration are central to AI-assisted programming. It makes productivity and satisfaction claims more conditional by showing that perceived value may hide debugging, documentation lookup, later deletion, slower runtime, or security validation work. It leaves unresolved how teams should allocate validation responsibility, how prompt decisions should be audited over time, and whether novice dependency declines under well-designed instruction. The Phase 3 synthesis should therefore present HAI as calibrated, situated interaction: AI assistance can extend developer capability, but only when workflows preserve human interpretability, testing, repair, and accountability.</w:t>
      </w:r>
    </w:p>
    <w:p>
      <w:pPr>
        <w:pStyle w:val="Heading1"/>
      </w:pPr>
      <w:r>
        <w:t>3. Phase 3 integration notes</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shd w:fill="D9EAF7"/>
          </w:tcPr>
          <w:p>
            <w:r/>
            <w:r>
              <w:rPr>
                <w:b/>
                <w:sz w:val="16"/>
              </w:rPr>
              <w:t>Note ID</w:t>
            </w:r>
          </w:p>
        </w:tc>
        <w:tc>
          <w:tcPr>
            <w:tcW w:type="dxa" w:w="2628"/>
            <w:shd w:fill="D9EAF7"/>
          </w:tcPr>
          <w:p>
            <w:r/>
            <w:r>
              <w:rPr>
                <w:b/>
                <w:sz w:val="16"/>
              </w:rPr>
              <w:t>Recommendation</w:t>
            </w:r>
          </w:p>
        </w:tc>
        <w:tc>
          <w:tcPr>
            <w:tcW w:type="dxa" w:w="2628"/>
            <w:shd w:fill="D9EAF7"/>
          </w:tcPr>
          <w:p>
            <w:r/>
            <w:r>
              <w:rPr>
                <w:b/>
                <w:sz w:val="16"/>
              </w:rPr>
              <w:t>Relevant SUPPORT bibkeys</w:t>
            </w:r>
          </w:p>
        </w:tc>
        <w:tc>
          <w:tcPr>
            <w:tcW w:type="dxa" w:w="2628"/>
            <w:shd w:fill="D9EAF7"/>
          </w:tcPr>
          <w:p>
            <w:r/>
            <w:r>
              <w:rPr>
                <w:b/>
                <w:sz w:val="16"/>
              </w:rPr>
              <w:t>Integration risk</w:t>
            </w:r>
          </w:p>
        </w:tc>
      </w:tr>
      <w:tr>
        <w:tc>
          <w:tcPr>
            <w:tcW w:type="dxa" w:w="2628"/>
            <w:vAlign w:val="top"/>
          </w:tcPr>
          <w:p>
            <w:r/>
            <w:r>
              <w:rPr>
                <w:b w:val="0"/>
                <w:sz w:val="16"/>
              </w:rPr>
              <w:t>N1</w:t>
            </w:r>
          </w:p>
        </w:tc>
        <w:tc>
          <w:tcPr>
            <w:tcW w:type="dxa" w:w="2628"/>
            <w:vAlign w:val="top"/>
          </w:tcPr>
          <w:p>
            <w:r/>
            <w:r>
              <w:rPr>
                <w:b w:val="0"/>
                <w:sz w:val="16"/>
              </w:rPr>
              <w:t>Use Mastropaolo and Shirafuji to triangulate CORE prompt-sensitivity claims with explicit paraphrase and presentation-variation evidence, including the 27.43% same-correct-output figure.</w:t>
            </w:r>
          </w:p>
        </w:tc>
        <w:tc>
          <w:tcPr>
            <w:tcW w:type="dxa" w:w="2628"/>
            <w:vAlign w:val="top"/>
          </w:tcPr>
          <w:p>
            <w:r/>
            <w:r>
              <w:rPr>
                <w:b w:val="0"/>
                <w:sz w:val="16"/>
              </w:rPr>
              <w:t>mastropaolo_robustness_2023; shirafuji_exploring_2023</w:t>
            </w:r>
          </w:p>
        </w:tc>
        <w:tc>
          <w:tcPr>
            <w:tcW w:type="dxa" w:w="2628"/>
            <w:vAlign w:val="top"/>
          </w:tcPr>
          <w:p>
            <w:r/>
            <w:r>
              <w:rPr>
                <w:b w:val="0"/>
                <w:sz w:val="16"/>
              </w:rPr>
              <w:t>low</w:t>
            </w:r>
          </w:p>
        </w:tc>
      </w:tr>
      <w:tr>
        <w:tc>
          <w:tcPr>
            <w:tcW w:type="dxa" w:w="2628"/>
            <w:vAlign w:val="top"/>
          </w:tcPr>
          <w:p>
            <w:r/>
            <w:r>
              <w:rPr>
                <w:b w:val="0"/>
                <w:sz w:val="16"/>
              </w:rPr>
              <w:t>N2</w:t>
            </w:r>
          </w:p>
        </w:tc>
        <w:tc>
          <w:tcPr>
            <w:tcW w:type="dxa" w:w="2628"/>
            <w:vAlign w:val="top"/>
          </w:tcPr>
          <w:p>
            <w:r/>
            <w:r>
              <w:rPr>
                <w:b w:val="0"/>
                <w:sz w:val="16"/>
              </w:rPr>
              <w:t>When CORE discusses prompting as skill, add Li and Fayed to show that prompting scales into lifecycle and artefact-management routines, not only local completion requests.</w:t>
            </w:r>
          </w:p>
        </w:tc>
        <w:tc>
          <w:tcPr>
            <w:tcW w:type="dxa" w:w="2628"/>
            <w:vAlign w:val="top"/>
          </w:tcPr>
          <w:p>
            <w:r/>
            <w:r>
              <w:rPr>
                <w:b w:val="0"/>
                <w:sz w:val="16"/>
              </w:rPr>
              <w:t>li_prompting_2024; fayed_prompt-driven_2026</w:t>
            </w:r>
          </w:p>
        </w:tc>
        <w:tc>
          <w:tcPr>
            <w:tcW w:type="dxa" w:w="2628"/>
            <w:vAlign w:val="top"/>
          </w:tcPr>
          <w:p>
            <w:r/>
            <w:r>
              <w:rPr>
                <w:b w:val="0"/>
                <w:sz w:val="16"/>
              </w:rPr>
              <w:t>medium</w:t>
            </w:r>
          </w:p>
        </w:tc>
      </w:tr>
      <w:tr>
        <w:tc>
          <w:tcPr>
            <w:tcW w:type="dxa" w:w="2628"/>
            <w:vAlign w:val="top"/>
          </w:tcPr>
          <w:p>
            <w:r/>
            <w:r>
              <w:rPr>
                <w:b w:val="0"/>
                <w:sz w:val="16"/>
              </w:rPr>
              <w:t>N3</w:t>
            </w:r>
          </w:p>
        </w:tc>
        <w:tc>
          <w:tcPr>
            <w:tcW w:type="dxa" w:w="2628"/>
            <w:vAlign w:val="top"/>
          </w:tcPr>
          <w:p>
            <w:r/>
            <w:r>
              <w:rPr>
                <w:b w:val="0"/>
                <w:sz w:val="16"/>
              </w:rPr>
              <w:t>Use Xu, Dakhel and Jin to keep workflow claims validation-centred: support is useful, but generated outputs require inspection before acceptance.</w:t>
            </w:r>
          </w:p>
        </w:tc>
        <w:tc>
          <w:tcPr>
            <w:tcW w:type="dxa" w:w="2628"/>
            <w:vAlign w:val="top"/>
          </w:tcPr>
          <w:p>
            <w:r/>
            <w:r>
              <w:rPr>
                <w:b w:val="0"/>
                <w:sz w:val="16"/>
              </w:rPr>
              <w:t>xu_-ide_2022; dakhel_github_2023; jin_can_2024</w:t>
            </w:r>
          </w:p>
        </w:tc>
        <w:tc>
          <w:tcPr>
            <w:tcW w:type="dxa" w:w="2628"/>
            <w:vAlign w:val="top"/>
          </w:tcPr>
          <w:p>
            <w:r/>
            <w:r>
              <w:rPr>
                <w:b w:val="0"/>
                <w:sz w:val="16"/>
              </w:rPr>
              <w:t>low</w:t>
            </w:r>
          </w:p>
        </w:tc>
      </w:tr>
      <w:tr>
        <w:tc>
          <w:tcPr>
            <w:tcW w:type="dxa" w:w="2628"/>
            <w:vAlign w:val="top"/>
          </w:tcPr>
          <w:p>
            <w:r/>
            <w:r>
              <w:rPr>
                <w:b w:val="0"/>
                <w:sz w:val="16"/>
              </w:rPr>
              <w:t>N4</w:t>
            </w:r>
          </w:p>
        </w:tc>
        <w:tc>
          <w:tcPr>
            <w:tcW w:type="dxa" w:w="2628"/>
            <w:vAlign w:val="top"/>
          </w:tcPr>
          <w:p>
            <w:r/>
            <w:r>
              <w:rPr>
                <w:b w:val="0"/>
                <w:sz w:val="16"/>
              </w:rPr>
              <w:t>Use Chen, Eibl and Qiu to extend CORE from completion to agentic/project-level HAI, while explicitly flagging context management and integration failure risk.</w:t>
            </w:r>
          </w:p>
        </w:tc>
        <w:tc>
          <w:tcPr>
            <w:tcW w:type="dxa" w:w="2628"/>
            <w:vAlign w:val="top"/>
          </w:tcPr>
          <w:p>
            <w:r/>
            <w:r>
              <w:rPr>
                <w:b w:val="0"/>
                <w:sz w:val="16"/>
              </w:rPr>
              <w:t>chen_code_2025; eibl_exploring_2025; qiu_locobench_2025</w:t>
            </w:r>
          </w:p>
        </w:tc>
        <w:tc>
          <w:tcPr>
            <w:tcW w:type="dxa" w:w="2628"/>
            <w:vAlign w:val="top"/>
          </w:tcPr>
          <w:p>
            <w:r/>
            <w:r>
              <w:rPr>
                <w:b w:val="0"/>
                <w:sz w:val="16"/>
              </w:rPr>
              <w:t>medium</w:t>
            </w:r>
          </w:p>
        </w:tc>
      </w:tr>
      <w:tr>
        <w:tc>
          <w:tcPr>
            <w:tcW w:type="dxa" w:w="2628"/>
            <w:vAlign w:val="top"/>
          </w:tcPr>
          <w:p>
            <w:r/>
            <w:r>
              <w:rPr>
                <w:b w:val="0"/>
                <w:sz w:val="16"/>
              </w:rPr>
              <w:t>N5</w:t>
            </w:r>
          </w:p>
        </w:tc>
        <w:tc>
          <w:tcPr>
            <w:tcW w:type="dxa" w:w="2628"/>
            <w:vAlign w:val="top"/>
          </w:tcPr>
          <w:p>
            <w:r/>
            <w:r>
              <w:rPr>
                <w:b w:val="0"/>
                <w:sz w:val="16"/>
              </w:rPr>
              <w:t>Use Vaithilingam, Liang and Tan to qualify any positive experience claim with debugging, relevance, documentation lookup, format, style and explainability constraints.</w:t>
            </w:r>
          </w:p>
        </w:tc>
        <w:tc>
          <w:tcPr>
            <w:tcW w:type="dxa" w:w="2628"/>
            <w:vAlign w:val="top"/>
          </w:tcPr>
          <w:p>
            <w:r/>
            <w:r>
              <w:rPr>
                <w:b w:val="0"/>
                <w:sz w:val="16"/>
              </w:rPr>
              <w:t>vaithilingam_expectation_2022; liang_large-scale_2024; tan_how_2024</w:t>
            </w:r>
          </w:p>
        </w:tc>
        <w:tc>
          <w:tcPr>
            <w:tcW w:type="dxa" w:w="2628"/>
            <w:vAlign w:val="top"/>
          </w:tcPr>
          <w:p>
            <w:r/>
            <w:r>
              <w:rPr>
                <w:b w:val="0"/>
                <w:sz w:val="16"/>
              </w:rPr>
              <w:t>low</w:t>
            </w:r>
          </w:p>
        </w:tc>
      </w:tr>
      <w:tr>
        <w:tc>
          <w:tcPr>
            <w:tcW w:type="dxa" w:w="2628"/>
            <w:vAlign w:val="top"/>
          </w:tcPr>
          <w:p>
            <w:r/>
            <w:r>
              <w:rPr>
                <w:b w:val="0"/>
                <w:sz w:val="16"/>
              </w:rPr>
              <w:t>N6</w:t>
            </w:r>
          </w:p>
        </w:tc>
        <w:tc>
          <w:tcPr>
            <w:tcW w:type="dxa" w:w="2628"/>
            <w:vAlign w:val="top"/>
          </w:tcPr>
          <w:p>
            <w:r/>
            <w:r>
              <w:rPr>
                <w:b w:val="0"/>
                <w:sz w:val="16"/>
              </w:rPr>
              <w:t>Use Watanabe and Mendes to distinguish calibrated reliance from outsourced review or autonomous delegation in the trust subsection.</w:t>
            </w:r>
          </w:p>
        </w:tc>
        <w:tc>
          <w:tcPr>
            <w:tcW w:type="dxa" w:w="2628"/>
            <w:vAlign w:val="top"/>
          </w:tcPr>
          <w:p>
            <w:r/>
            <w:r>
              <w:rPr>
                <w:b w:val="0"/>
                <w:sz w:val="16"/>
              </w:rPr>
              <w:t>watanabe_use_2024; mendes_youre_2024</w:t>
            </w:r>
          </w:p>
        </w:tc>
        <w:tc>
          <w:tcPr>
            <w:tcW w:type="dxa" w:w="2628"/>
            <w:vAlign w:val="top"/>
          </w:tcPr>
          <w:p>
            <w:r/>
            <w:r>
              <w:rPr>
                <w:b w:val="0"/>
                <w:sz w:val="16"/>
              </w:rPr>
              <w:t>medium</w:t>
            </w:r>
          </w:p>
        </w:tc>
      </w:tr>
      <w:tr>
        <w:tc>
          <w:tcPr>
            <w:tcW w:type="dxa" w:w="2628"/>
            <w:vAlign w:val="top"/>
          </w:tcPr>
          <w:p>
            <w:r/>
            <w:r>
              <w:rPr>
                <w:b w:val="0"/>
                <w:sz w:val="16"/>
              </w:rPr>
              <w:t>N7</w:t>
            </w:r>
          </w:p>
        </w:tc>
        <w:tc>
          <w:tcPr>
            <w:tcW w:type="dxa" w:w="2628"/>
            <w:vAlign w:val="top"/>
          </w:tcPr>
          <w:p>
            <w:r/>
            <w:r>
              <w:rPr>
                <w:b w:val="0"/>
                <w:sz w:val="16"/>
              </w:rPr>
              <w:t>Use Min, Fang and Zhong to argue that evaluation should include self-consistency and benchmark-exploitation checks, not only single-run functional success.</w:t>
            </w:r>
          </w:p>
        </w:tc>
        <w:tc>
          <w:tcPr>
            <w:tcW w:type="dxa" w:w="2628"/>
            <w:vAlign w:val="top"/>
          </w:tcPr>
          <w:p>
            <w:r/>
            <w:r>
              <w:rPr>
                <w:b w:val="0"/>
                <w:sz w:val="16"/>
              </w:rPr>
              <w:t>min_beyond_2024; fang_evalooop_2025; zhong_impossiblebench_2025</w:t>
            </w:r>
          </w:p>
        </w:tc>
        <w:tc>
          <w:tcPr>
            <w:tcW w:type="dxa" w:w="2628"/>
            <w:vAlign w:val="top"/>
          </w:tcPr>
          <w:p>
            <w:r/>
            <w:r>
              <w:rPr>
                <w:b w:val="0"/>
                <w:sz w:val="16"/>
              </w:rPr>
              <w:t>medium</w:t>
            </w:r>
          </w:p>
        </w:tc>
      </w:tr>
      <w:tr>
        <w:tc>
          <w:tcPr>
            <w:tcW w:type="dxa" w:w="2628"/>
            <w:vAlign w:val="top"/>
          </w:tcPr>
          <w:p>
            <w:r/>
            <w:r>
              <w:rPr>
                <w:b w:val="0"/>
                <w:sz w:val="16"/>
              </w:rPr>
              <w:t>N8</w:t>
            </w:r>
          </w:p>
        </w:tc>
        <w:tc>
          <w:tcPr>
            <w:tcW w:type="dxa" w:w="2628"/>
            <w:vAlign w:val="top"/>
          </w:tcPr>
          <w:p>
            <w:r/>
            <w:r>
              <w:rPr>
                <w:b w:val="0"/>
                <w:sz w:val="16"/>
              </w:rPr>
              <w:t>Use Ceran, Gong and Kim to keep security trust separate from general usefulness: secure-code assistance needs domain-specific prompts and embedded security evaluation.</w:t>
            </w:r>
          </w:p>
        </w:tc>
        <w:tc>
          <w:tcPr>
            <w:tcW w:type="dxa" w:w="2628"/>
            <w:vAlign w:val="top"/>
          </w:tcPr>
          <w:p>
            <w:r/>
            <w:r>
              <w:rPr>
                <w:b w:val="0"/>
                <w:sz w:val="16"/>
              </w:rPr>
              <w:t>ceran_security_2025; gong_how_2025; kim_codexity_2024</w:t>
            </w:r>
          </w:p>
        </w:tc>
        <w:tc>
          <w:tcPr>
            <w:tcW w:type="dxa" w:w="2628"/>
            <w:vAlign w:val="top"/>
          </w:tcPr>
          <w:p>
            <w:r/>
            <w:r>
              <w:rPr>
                <w:b w:val="0"/>
                <w:sz w:val="16"/>
              </w:rPr>
              <w:t>low</w:t>
            </w:r>
          </w:p>
        </w:tc>
      </w:tr>
      <w:tr>
        <w:tc>
          <w:tcPr>
            <w:tcW w:type="dxa" w:w="2628"/>
            <w:vAlign w:val="top"/>
          </w:tcPr>
          <w:p>
            <w:r/>
            <w:r>
              <w:rPr>
                <w:b w:val="0"/>
                <w:sz w:val="16"/>
              </w:rPr>
              <w:t>N9</w:t>
            </w:r>
          </w:p>
        </w:tc>
        <w:tc>
          <w:tcPr>
            <w:tcW w:type="dxa" w:w="2628"/>
            <w:vAlign w:val="top"/>
          </w:tcPr>
          <w:p>
            <w:r/>
            <w:r>
              <w:rPr>
                <w:b w:val="0"/>
                <w:sz w:val="16"/>
              </w:rPr>
              <w:t>Use Hellas, Rahe and Takerngsaksiri to add an educational boundary condition: novices need assessment routines that require explanation, tests and reflection.</w:t>
            </w:r>
          </w:p>
        </w:tc>
        <w:tc>
          <w:tcPr>
            <w:tcW w:type="dxa" w:w="2628"/>
            <w:vAlign w:val="top"/>
          </w:tcPr>
          <w:p>
            <w:r/>
            <w:r>
              <w:rPr>
                <w:b w:val="0"/>
                <w:sz w:val="16"/>
              </w:rPr>
              <w:t>hellas_exploring_2023; rahe_how_2025; takerngsaksiri_students_2024</w:t>
            </w:r>
          </w:p>
        </w:tc>
        <w:tc>
          <w:tcPr>
            <w:tcW w:type="dxa" w:w="2628"/>
            <w:vAlign w:val="top"/>
          </w:tcPr>
          <w:p>
            <w:r/>
            <w:r>
              <w:rPr>
                <w:b w:val="0"/>
                <w:sz w:val="16"/>
              </w:rPr>
              <w:t>medium</w:t>
            </w:r>
          </w:p>
        </w:tc>
      </w:tr>
      <w:tr>
        <w:tc>
          <w:tcPr>
            <w:tcW w:type="dxa" w:w="2628"/>
            <w:vAlign w:val="top"/>
          </w:tcPr>
          <w:p>
            <w:r/>
            <w:r>
              <w:rPr>
                <w:b w:val="0"/>
                <w:sz w:val="16"/>
              </w:rPr>
              <w:t>N10</w:t>
            </w:r>
          </w:p>
        </w:tc>
        <w:tc>
          <w:tcPr>
            <w:tcW w:type="dxa" w:w="2628"/>
            <w:vAlign w:val="top"/>
          </w:tcPr>
          <w:p>
            <w:r/>
            <w:r>
              <w:rPr>
                <w:b w:val="0"/>
                <w:sz w:val="16"/>
              </w:rPr>
              <w:t>Use Xu, Imai, Bento and Suryavanshi to prevent Phase 3 from equating satisfaction, LOC, or perceived productivity with engineering or learning outcomes.</w:t>
            </w:r>
          </w:p>
        </w:tc>
        <w:tc>
          <w:tcPr>
            <w:tcW w:type="dxa" w:w="2628"/>
            <w:vAlign w:val="top"/>
          </w:tcPr>
          <w:p>
            <w:r/>
            <w:r>
              <w:rPr>
                <w:b w:val="0"/>
                <w:sz w:val="16"/>
              </w:rPr>
              <w:t>xu_-ide_2022; imai_is_2022; bento_leveraging_2025; suryavanshi_effects_2025</w:t>
            </w:r>
          </w:p>
        </w:tc>
        <w:tc>
          <w:tcPr>
            <w:tcW w:type="dxa" w:w="2628"/>
            <w:vAlign w:val="top"/>
          </w:tcPr>
          <w:p>
            <w:r/>
            <w:r>
              <w:rPr>
                <w:b w:val="0"/>
                <w:sz w:val="16"/>
              </w:rPr>
              <w:t>medium</w:t>
            </w:r>
          </w:p>
        </w:tc>
      </w:tr>
      <w:tr>
        <w:tc>
          <w:tcPr>
            <w:tcW w:type="dxa" w:w="2628"/>
            <w:vAlign w:val="top"/>
          </w:tcPr>
          <w:p>
            <w:r/>
            <w:r>
              <w:rPr>
                <w:b w:val="0"/>
                <w:sz w:val="16"/>
              </w:rPr>
              <w:t>N11</w:t>
            </w:r>
          </w:p>
        </w:tc>
        <w:tc>
          <w:tcPr>
            <w:tcW w:type="dxa" w:w="2628"/>
            <w:vAlign w:val="top"/>
          </w:tcPr>
          <w:p>
            <w:r/>
            <w:r>
              <w:rPr>
                <w:b w:val="0"/>
                <w:sz w:val="16"/>
              </w:rPr>
              <w:t>Use Erhabor and Ságodi to add non-functional and multi-metric validation to the HAI reliability discussion, especially where CORE evidence emphasises functional completion.</w:t>
            </w:r>
          </w:p>
        </w:tc>
        <w:tc>
          <w:tcPr>
            <w:tcW w:type="dxa" w:w="2628"/>
            <w:vAlign w:val="top"/>
          </w:tcPr>
          <w:p>
            <w:r/>
            <w:r>
              <w:rPr>
                <w:b w:val="0"/>
                <w:sz w:val="16"/>
              </w:rPr>
              <w:t>erhabor_measuring_2024; sagodi_methodology_2024</w:t>
            </w:r>
          </w:p>
        </w:tc>
        <w:tc>
          <w:tcPr>
            <w:tcW w:type="dxa" w:w="2628"/>
            <w:vAlign w:val="top"/>
          </w:tcPr>
          <w:p>
            <w:r/>
            <w:r>
              <w:rPr>
                <w:b w:val="0"/>
                <w:sz w:val="16"/>
              </w:rPr>
              <w:t>medium</w:t>
            </w:r>
          </w:p>
        </w:tc>
      </w:tr>
      <w:tr>
        <w:tc>
          <w:tcPr>
            <w:tcW w:type="dxa" w:w="2628"/>
            <w:vAlign w:val="top"/>
          </w:tcPr>
          <w:p>
            <w:r/>
            <w:r>
              <w:rPr>
                <w:b w:val="0"/>
                <w:sz w:val="16"/>
              </w:rPr>
              <w:t>N12</w:t>
            </w:r>
          </w:p>
        </w:tc>
        <w:tc>
          <w:tcPr>
            <w:tcW w:type="dxa" w:w="2628"/>
            <w:vAlign w:val="top"/>
          </w:tcPr>
          <w:p>
            <w:r/>
            <w:r>
              <w:rPr>
                <w:b w:val="0"/>
                <w:sz w:val="16"/>
              </w:rPr>
              <w:t>Use Surk and Geyer cautiously as scope-extension evidence for cross-role communication and project artefact review, not as general coding-productivity evidence.</w:t>
            </w:r>
          </w:p>
        </w:tc>
        <w:tc>
          <w:tcPr>
            <w:tcW w:type="dxa" w:w="2628"/>
            <w:vAlign w:val="top"/>
          </w:tcPr>
          <w:p>
            <w:r/>
            <w:r>
              <w:rPr>
                <w:b w:val="0"/>
                <w:sz w:val="16"/>
              </w:rPr>
              <w:t>surk_reducing_2026; geyer_case_2025</w:t>
            </w:r>
          </w:p>
        </w:tc>
        <w:tc>
          <w:tcPr>
            <w:tcW w:type="dxa" w:w="2628"/>
            <w:vAlign w:val="top"/>
          </w:tcPr>
          <w:p>
            <w:r/>
            <w:r>
              <w:rPr>
                <w:b w:val="0"/>
                <w:sz w:val="16"/>
              </w:rPr>
              <w:t>high</w:t>
            </w:r>
          </w:p>
        </w:tc>
      </w:tr>
    </w:tbl>
    <w:p>
      <w:pPr>
        <w:pStyle w:val="Heading1"/>
      </w:pPr>
      <w:r>
        <w:t>4. Cross-sub-topic papers list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D9EAF7"/>
          </w:tcPr>
          <w:p>
            <w:r/>
            <w:r>
              <w:rPr>
                <w:b/>
                <w:sz w:val="16"/>
              </w:rPr>
              <w:t>Bibkey</w:t>
            </w:r>
          </w:p>
        </w:tc>
        <w:tc>
          <w:tcPr>
            <w:tcW w:type="dxa" w:w="5256"/>
            <w:shd w:fill="D9EAF7"/>
          </w:tcPr>
          <w:p>
            <w:r/>
            <w:r>
              <w:rPr>
                <w:b/>
                <w:sz w:val="16"/>
              </w:rPr>
              <w:t>How findings differ across sub-topics to avoid double-counting in Phase 3</w:t>
            </w:r>
          </w:p>
        </w:tc>
      </w:tr>
      <w:tr>
        <w:tc>
          <w:tcPr>
            <w:tcW w:type="dxa" w:w="5256"/>
            <w:vAlign w:val="top"/>
          </w:tcPr>
          <w:p>
            <w:r/>
            <w:r>
              <w:rPr>
                <w:b w:val="0"/>
                <w:sz w:val="16"/>
              </w:rPr>
              <w:t>mastropaolo_robustness_2023</w:t>
            </w:r>
          </w:p>
        </w:tc>
        <w:tc>
          <w:tcPr>
            <w:tcW w:type="dxa" w:w="5256"/>
            <w:vAlign w:val="top"/>
          </w:tcPr>
          <w:p>
            <w:r/>
            <w:r>
              <w:rPr>
                <w:b w:val="0"/>
                <w:sz w:val="16"/>
              </w:rPr>
              <w:t>Prompting: paraphrase sensitivity; Robustness: same-correct-output instability.</w:t>
            </w:r>
          </w:p>
        </w:tc>
      </w:tr>
      <w:tr>
        <w:tc>
          <w:tcPr>
            <w:tcW w:type="dxa" w:w="5256"/>
            <w:vAlign w:val="top"/>
          </w:tcPr>
          <w:p>
            <w:r/>
            <w:r>
              <w:rPr>
                <w:b w:val="0"/>
                <w:sz w:val="16"/>
              </w:rPr>
              <w:t>shirafuji_exploring_2023</w:t>
            </w:r>
          </w:p>
        </w:tc>
        <w:tc>
          <w:tcPr>
            <w:tcW w:type="dxa" w:w="5256"/>
            <w:vAlign w:val="top"/>
          </w:tcPr>
          <w:p>
            <w:r/>
            <w:r>
              <w:rPr>
                <w:b w:val="0"/>
                <w:sz w:val="16"/>
              </w:rPr>
              <w:t>Prompting/Workflow: presentation sensitivity requiring checks; Learning/Robustness: model and problem-representation dependence.</w:t>
            </w:r>
          </w:p>
        </w:tc>
      </w:tr>
      <w:tr>
        <w:tc>
          <w:tcPr>
            <w:tcW w:type="dxa" w:w="5256"/>
            <w:vAlign w:val="top"/>
          </w:tcPr>
          <w:p>
            <w:r/>
            <w:r>
              <w:rPr>
                <w:b w:val="0"/>
                <w:sz w:val="16"/>
              </w:rPr>
              <w:t>min_beyond_2024</w:t>
            </w:r>
          </w:p>
        </w:tc>
        <w:tc>
          <w:tcPr>
            <w:tcW w:type="dxa" w:w="5256"/>
            <w:vAlign w:val="top"/>
          </w:tcPr>
          <w:p>
            <w:r/>
            <w:r>
              <w:rPr>
                <w:b w:val="0"/>
                <w:sz w:val="16"/>
              </w:rPr>
              <w:t>Workflow/Trust/Learning/Robustness: self-consistency reframes accuracy as insufficient for iterative, educational and reliability claims.</w:t>
            </w:r>
          </w:p>
        </w:tc>
      </w:tr>
      <w:tr>
        <w:tc>
          <w:tcPr>
            <w:tcW w:type="dxa" w:w="5256"/>
            <w:vAlign w:val="top"/>
          </w:tcPr>
          <w:p>
            <w:r/>
            <w:r>
              <w:rPr>
                <w:b w:val="0"/>
                <w:sz w:val="16"/>
              </w:rPr>
              <w:t>vaithilingam_expectation_2022</w:t>
            </w:r>
          </w:p>
        </w:tc>
        <w:tc>
          <w:tcPr>
            <w:tcW w:type="dxa" w:w="5256"/>
            <w:vAlign w:val="top"/>
          </w:tcPr>
          <w:p>
            <w:r/>
            <w:r>
              <w:rPr>
                <w:b w:val="0"/>
                <w:sz w:val="16"/>
              </w:rPr>
              <w:t>Prompting: comments as prompts; Trust/Experience: preferred starting points coexist with debugging difficulty and fragile reliance.</w:t>
            </w:r>
          </w:p>
        </w:tc>
      </w:tr>
      <w:tr>
        <w:tc>
          <w:tcPr>
            <w:tcW w:type="dxa" w:w="5256"/>
            <w:vAlign w:val="top"/>
          </w:tcPr>
          <w:p>
            <w:r/>
            <w:r>
              <w:rPr>
                <w:b w:val="0"/>
                <w:sz w:val="16"/>
              </w:rPr>
              <w:t>xu_-ide_2022</w:t>
            </w:r>
          </w:p>
        </w:tc>
        <w:tc>
          <w:tcPr>
            <w:tcW w:type="dxa" w:w="5256"/>
            <w:vAlign w:val="top"/>
          </w:tcPr>
          <w:p>
            <w:r/>
            <w:r>
              <w:rPr>
                <w:b w:val="0"/>
                <w:sz w:val="16"/>
              </w:rPr>
              <w:t>Prompting: query formulation barrier; Workflow/Experience: positive perceptions without reliable speed or correctness gains.</w:t>
            </w:r>
          </w:p>
        </w:tc>
      </w:tr>
      <w:tr>
        <w:tc>
          <w:tcPr>
            <w:tcW w:type="dxa" w:w="5256"/>
            <w:vAlign w:val="top"/>
          </w:tcPr>
          <w:p>
            <w:r/>
            <w:r>
              <w:rPr>
                <w:b w:val="0"/>
                <w:sz w:val="16"/>
              </w:rPr>
              <w:t>imai_is_2022</w:t>
            </w:r>
          </w:p>
        </w:tc>
        <w:tc>
          <w:tcPr>
            <w:tcW w:type="dxa" w:w="5256"/>
            <w:vAlign w:val="top"/>
          </w:tcPr>
          <w:p>
            <w:r/>
            <w:r>
              <w:rPr>
                <w:b w:val="0"/>
                <w:sz w:val="16"/>
              </w:rPr>
              <w:t>Workflow/Experience/Learning: Copilot as weak pair substitute; LOC gains do not equal quality or learning.</w:t>
            </w:r>
          </w:p>
        </w:tc>
      </w:tr>
      <w:tr>
        <w:tc>
          <w:tcPr>
            <w:tcW w:type="dxa" w:w="5256"/>
            <w:vAlign w:val="top"/>
          </w:tcPr>
          <w:p>
            <w:r/>
            <w:r>
              <w:rPr>
                <w:b w:val="0"/>
                <w:sz w:val="16"/>
              </w:rPr>
              <w:t>dakhel_github_2023</w:t>
            </w:r>
          </w:p>
        </w:tc>
        <w:tc>
          <w:tcPr>
            <w:tcW w:type="dxa" w:w="5256"/>
            <w:vAlign w:val="top"/>
          </w:tcPr>
          <w:p>
            <w:r/>
            <w:r>
              <w:rPr>
                <w:b w:val="0"/>
                <w:sz w:val="16"/>
              </w:rPr>
              <w:t>Prompting/Workflow: useful but validation-dependent outputs; Trust/Learning: wrong, insecure or unstable solutions make novice acceptance risky.</w:t>
            </w:r>
          </w:p>
        </w:tc>
      </w:tr>
      <w:tr>
        <w:tc>
          <w:tcPr>
            <w:tcW w:type="dxa" w:w="5256"/>
            <w:vAlign w:val="top"/>
          </w:tcPr>
          <w:p>
            <w:r/>
            <w:r>
              <w:rPr>
                <w:b w:val="0"/>
                <w:sz w:val="16"/>
              </w:rPr>
              <w:t>liang_large-scale_2024</w:t>
            </w:r>
          </w:p>
        </w:tc>
        <w:tc>
          <w:tcPr>
            <w:tcW w:type="dxa" w:w="5256"/>
            <w:vAlign w:val="top"/>
          </w:tcPr>
          <w:p>
            <w:r/>
            <w:r>
              <w:rPr>
                <w:b w:val="0"/>
                <w:sz w:val="16"/>
              </w:rPr>
              <w:t>Workflow/Trust/Experience/Learning: acceleration and exploration value coupled with verification, relevance and debugging burdens.</w:t>
            </w:r>
          </w:p>
        </w:tc>
      </w:tr>
      <w:tr>
        <w:tc>
          <w:tcPr>
            <w:tcW w:type="dxa" w:w="5256"/>
            <w:vAlign w:val="top"/>
          </w:tcPr>
          <w:p>
            <w:r/>
            <w:r>
              <w:rPr>
                <w:b w:val="0"/>
                <w:sz w:val="16"/>
              </w:rPr>
              <w:t>tan_how_2024</w:t>
            </w:r>
          </w:p>
        </w:tc>
        <w:tc>
          <w:tcPr>
            <w:tcW w:type="dxa" w:w="5256"/>
            <w:vAlign w:val="top"/>
          </w:tcPr>
          <w:p>
            <w:r/>
            <w:r>
              <w:rPr>
                <w:b w:val="0"/>
                <w:sz w:val="16"/>
              </w:rPr>
              <w:t>Workflow/Trust/Experience/Learning: developer needs, output fit and fallback strategies condition usefulness.</w:t>
            </w:r>
          </w:p>
        </w:tc>
      </w:tr>
      <w:tr>
        <w:tc>
          <w:tcPr>
            <w:tcW w:type="dxa" w:w="5256"/>
            <w:vAlign w:val="top"/>
          </w:tcPr>
          <w:p>
            <w:r/>
            <w:r>
              <w:rPr>
                <w:b w:val="0"/>
                <w:sz w:val="16"/>
              </w:rPr>
              <w:t>mendes_youre_2024</w:t>
            </w:r>
          </w:p>
        </w:tc>
        <w:tc>
          <w:tcPr>
            <w:tcW w:type="dxa" w:w="5256"/>
            <w:vAlign w:val="top"/>
          </w:tcPr>
          <w:p>
            <w:r/>
            <w:r>
              <w:rPr>
                <w:b w:val="0"/>
                <w:sz w:val="16"/>
              </w:rPr>
              <w:t>Prompting/Workflow/Trust/Experience: acceleration metaphor supports calibrated steering, not autonomous replacement.</w:t>
            </w:r>
          </w:p>
        </w:tc>
      </w:tr>
      <w:tr>
        <w:tc>
          <w:tcPr>
            <w:tcW w:type="dxa" w:w="5256"/>
            <w:vAlign w:val="top"/>
          </w:tcPr>
          <w:p>
            <w:r/>
            <w:r>
              <w:rPr>
                <w:b w:val="0"/>
                <w:sz w:val="16"/>
              </w:rPr>
              <w:t>rasnayaka_empirical_2024</w:t>
            </w:r>
          </w:p>
        </w:tc>
        <w:tc>
          <w:tcPr>
            <w:tcW w:type="dxa" w:w="5256"/>
            <w:vAlign w:val="top"/>
          </w:tcPr>
          <w:p>
            <w:r/>
            <w:r>
              <w:rPr>
                <w:b w:val="0"/>
                <w:sz w:val="16"/>
              </w:rPr>
              <w:t>Workflow/Trust/Experience: project usefulness for ideation/explanation/code support, moderated by reliability and dependence concerns.</w:t>
            </w:r>
          </w:p>
        </w:tc>
      </w:tr>
      <w:tr>
        <w:tc>
          <w:tcPr>
            <w:tcW w:type="dxa" w:w="5256"/>
            <w:vAlign w:val="top"/>
          </w:tcPr>
          <w:p>
            <w:r/>
            <w:r>
              <w:rPr>
                <w:b w:val="0"/>
                <w:sz w:val="16"/>
              </w:rPr>
              <w:t>eibl_exploring_2025</w:t>
            </w:r>
          </w:p>
        </w:tc>
        <w:tc>
          <w:tcPr>
            <w:tcW w:type="dxa" w:w="5256"/>
            <w:vAlign w:val="top"/>
          </w:tcPr>
          <w:p>
            <w:r/>
            <w:r>
              <w:rPr>
                <w:b w:val="0"/>
                <w:sz w:val="16"/>
              </w:rPr>
              <w:t>Prompting/Workflow/Experience: architecture-level intent and codebase generation create context, integration and satisfaction problems.</w:t>
            </w:r>
          </w:p>
        </w:tc>
      </w:tr>
      <w:tr>
        <w:tc>
          <w:tcPr>
            <w:tcW w:type="dxa" w:w="5256"/>
            <w:vAlign w:val="top"/>
          </w:tcPr>
          <w:p>
            <w:r/>
            <w:r>
              <w:rPr>
                <w:b w:val="0"/>
                <w:sz w:val="16"/>
              </w:rPr>
              <w:t>ceran_security_2025</w:t>
            </w:r>
          </w:p>
        </w:tc>
        <w:tc>
          <w:tcPr>
            <w:tcW w:type="dxa" w:w="5256"/>
            <w:vAlign w:val="top"/>
          </w:tcPr>
          <w:p>
            <w:r/>
            <w:r>
              <w:rPr>
                <w:b w:val="0"/>
                <w:sz w:val="16"/>
              </w:rPr>
              <w:t>Prompting/Trust/Robustness: generic prompts are insufficient for security; specific secure-design controls and validation are needed.</w:t>
            </w:r>
          </w:p>
        </w:tc>
      </w:tr>
      <w:tr>
        <w:tc>
          <w:tcPr>
            <w:tcW w:type="dxa" w:w="5256"/>
            <w:vAlign w:val="top"/>
          </w:tcPr>
          <w:p>
            <w:r/>
            <w:r>
              <w:rPr>
                <w:b w:val="0"/>
                <w:sz w:val="16"/>
              </w:rPr>
              <w:t>gong_how_2025</w:t>
            </w:r>
          </w:p>
        </w:tc>
        <w:tc>
          <w:tcPr>
            <w:tcW w:type="dxa" w:w="5256"/>
            <w:vAlign w:val="top"/>
          </w:tcPr>
          <w:p>
            <w:r/>
            <w:r>
              <w:rPr>
                <w:b w:val="0"/>
                <w:sz w:val="16"/>
              </w:rPr>
              <w:t>Trust/Robustness: secure-code agents remain unreliable; repair helps but does not justify autonomous trust.</w:t>
            </w:r>
          </w:p>
        </w:tc>
      </w:tr>
      <w:tr>
        <w:tc>
          <w:tcPr>
            <w:tcW w:type="dxa" w:w="5256"/>
            <w:vAlign w:val="top"/>
          </w:tcPr>
          <w:p>
            <w:r/>
            <w:r>
              <w:rPr>
                <w:b w:val="0"/>
                <w:sz w:val="16"/>
              </w:rPr>
              <w:t>kim_codexity_2024</w:t>
            </w:r>
          </w:p>
        </w:tc>
        <w:tc>
          <w:tcPr>
            <w:tcW w:type="dxa" w:w="5256"/>
            <w:vAlign w:val="top"/>
          </w:tcPr>
          <w:p>
            <w:r/>
            <w:r>
              <w:rPr>
                <w:b w:val="0"/>
                <w:sz w:val="16"/>
              </w:rPr>
              <w:t>Trust/Robustness: embedded security evaluation improves reliability while showing ordinary generation is not safe by default.</w:t>
            </w:r>
          </w:p>
        </w:tc>
      </w:tr>
      <w:tr>
        <w:tc>
          <w:tcPr>
            <w:tcW w:type="dxa" w:w="5256"/>
            <w:vAlign w:val="top"/>
          </w:tcPr>
          <w:p>
            <w:r/>
            <w:r>
              <w:rPr>
                <w:b w:val="0"/>
                <w:sz w:val="16"/>
              </w:rPr>
              <w:t>qiu_locobench_2025</w:t>
            </w:r>
          </w:p>
        </w:tc>
        <w:tc>
          <w:tcPr>
            <w:tcW w:type="dxa" w:w="5256"/>
            <w:vAlign w:val="top"/>
          </w:tcPr>
          <w:p>
            <w:r/>
            <w:r>
              <w:rPr>
                <w:b w:val="0"/>
                <w:sz w:val="16"/>
              </w:rPr>
              <w:t>Workflow/Trust/Robustness: long-context tasks increase dependency, multi-file and memory reliability demands.</w:t>
            </w:r>
          </w:p>
        </w:tc>
      </w:tr>
      <w:tr>
        <w:tc>
          <w:tcPr>
            <w:tcW w:type="dxa" w:w="5256"/>
            <w:vAlign w:val="top"/>
          </w:tcPr>
          <w:p>
            <w:r/>
            <w:r>
              <w:rPr>
                <w:b w:val="0"/>
                <w:sz w:val="16"/>
              </w:rPr>
              <w:t>erhabor_measuring_2024</w:t>
            </w:r>
          </w:p>
        </w:tc>
        <w:tc>
          <w:tcPr>
            <w:tcW w:type="dxa" w:w="5256"/>
            <w:vAlign w:val="top"/>
          </w:tcPr>
          <w:p>
            <w:r/>
            <w:r>
              <w:rPr>
                <w:b w:val="0"/>
                <w:sz w:val="16"/>
              </w:rPr>
              <w:t>Workflow/Trust/Robustness: accepted Copilot suggestions require post-hoc checking and can degrade runtime performance.</w:t>
            </w:r>
          </w:p>
        </w:tc>
      </w:tr>
      <w:tr>
        <w:tc>
          <w:tcPr>
            <w:tcW w:type="dxa" w:w="5256"/>
            <w:vAlign w:val="top"/>
          </w:tcPr>
          <w:p>
            <w:r/>
            <w:r>
              <w:rPr>
                <w:b w:val="0"/>
                <w:sz w:val="16"/>
              </w:rPr>
              <w:t>nascimento_how_2025</w:t>
            </w:r>
          </w:p>
        </w:tc>
        <w:tc>
          <w:tcPr>
            <w:tcW w:type="dxa" w:w="5256"/>
            <w:vAlign w:val="top"/>
          </w:tcPr>
          <w:p>
            <w:r/>
            <w:r>
              <w:rPr>
                <w:b w:val="0"/>
                <w:sz w:val="16"/>
              </w:rPr>
              <w:t>Trust/Learning/Robustness: data-science coding has bounded success and requires task-level validation.</w:t>
            </w:r>
          </w:p>
        </w:tc>
      </w:tr>
      <w:tr>
        <w:tc>
          <w:tcPr>
            <w:tcW w:type="dxa" w:w="5256"/>
            <w:vAlign w:val="top"/>
          </w:tcPr>
          <w:p>
            <w:r/>
            <w:r>
              <w:rPr>
                <w:b w:val="0"/>
                <w:sz w:val="16"/>
              </w:rPr>
              <w:t>sagodi_methodology_2024</w:t>
            </w:r>
          </w:p>
        </w:tc>
        <w:tc>
          <w:tcPr>
            <w:tcW w:type="dxa" w:w="5256"/>
            <w:vAlign w:val="top"/>
          </w:tcPr>
          <w:p>
            <w:r/>
            <w:r>
              <w:rPr>
                <w:b w:val="0"/>
                <w:sz w:val="16"/>
              </w:rPr>
              <w:t>Prompting/Trust/Robustness: prompt wording, runtime errors, complexity and task effects make evaluation multi-metric.</w:t>
            </w:r>
          </w:p>
        </w:tc>
      </w:tr>
      <w:tr>
        <w:tc>
          <w:tcPr>
            <w:tcW w:type="dxa" w:w="5256"/>
            <w:vAlign w:val="top"/>
          </w:tcPr>
          <w:p>
            <w:r/>
            <w:r>
              <w:rPr>
                <w:b w:val="0"/>
                <w:sz w:val="16"/>
              </w:rPr>
              <w:t>zhong_impossiblebench_2025</w:t>
            </w:r>
          </w:p>
        </w:tc>
        <w:tc>
          <w:tcPr>
            <w:tcW w:type="dxa" w:w="5256"/>
            <w:vAlign w:val="top"/>
          </w:tcPr>
          <w:p>
            <w:r/>
            <w:r>
              <w:rPr>
                <w:b w:val="0"/>
                <w:sz w:val="16"/>
              </w:rPr>
              <w:t>Prompting/Trust/Robustness: prompt and feedback loops affect benchmark exploitation, so apparent success is not enough.</w:t>
            </w:r>
          </w:p>
        </w:tc>
      </w:tr>
      <w:tr>
        <w:tc>
          <w:tcPr>
            <w:tcW w:type="dxa" w:w="5256"/>
            <w:vAlign w:val="top"/>
          </w:tcPr>
          <w:p>
            <w:r/>
            <w:r>
              <w:rPr>
                <w:b w:val="0"/>
                <w:sz w:val="16"/>
              </w:rPr>
              <w:t>waseem_chatgpt_2024</w:t>
            </w:r>
          </w:p>
        </w:tc>
        <w:tc>
          <w:tcPr>
            <w:tcW w:type="dxa" w:w="5256"/>
            <w:vAlign w:val="top"/>
          </w:tcPr>
          <w:p>
            <w:r/>
            <w:r>
              <w:rPr>
                <w:b w:val="0"/>
                <w:sz w:val="16"/>
              </w:rPr>
              <w:t>Prompting/Workflow: project-based use depends on decomposition, follow-up requests and verification.</w:t>
            </w:r>
          </w:p>
        </w:tc>
      </w:tr>
      <w:tr>
        <w:tc>
          <w:tcPr>
            <w:tcW w:type="dxa" w:w="5256"/>
            <w:vAlign w:val="top"/>
          </w:tcPr>
          <w:p>
            <w:r/>
            <w:r>
              <w:rPr>
                <w:b w:val="0"/>
                <w:sz w:val="16"/>
              </w:rPr>
              <w:t>jiang_simcopilot_2025</w:t>
            </w:r>
          </w:p>
        </w:tc>
        <w:tc>
          <w:tcPr>
            <w:tcW w:type="dxa" w:w="5256"/>
            <w:vAlign w:val="top"/>
          </w:tcPr>
          <w:p>
            <w:r/>
            <w:r>
              <w:rPr>
                <w:b w:val="0"/>
                <w:sz w:val="16"/>
              </w:rPr>
              <w:t>Prompting/Robustness: simulated completion context changes measured copilot-style reliability.</w:t>
            </w:r>
          </w:p>
        </w:tc>
      </w:tr>
      <w:tr>
        <w:tc>
          <w:tcPr>
            <w:tcW w:type="dxa" w:w="5256"/>
            <w:vAlign w:val="top"/>
          </w:tcPr>
          <w:p>
            <w:r/>
            <w:r>
              <w:rPr>
                <w:b w:val="0"/>
                <w:sz w:val="16"/>
              </w:rPr>
              <w:t>chen_featbench_2026</w:t>
            </w:r>
          </w:p>
        </w:tc>
        <w:tc>
          <w:tcPr>
            <w:tcW w:type="dxa" w:w="5256"/>
            <w:vAlign w:val="top"/>
          </w:tcPr>
          <w:p>
            <w:r/>
            <w:r>
              <w:rPr>
                <w:b w:val="0"/>
                <w:sz w:val="16"/>
              </w:rPr>
              <w:t>Robustness/Agentic reliability: feature-level tasks show low resolved rates and aggressive implementation failures.</w:t>
            </w:r>
          </w:p>
        </w:tc>
      </w:tr>
      <w:tr>
        <w:tc>
          <w:tcPr>
            <w:tcW w:type="dxa" w:w="5256"/>
            <w:vAlign w:val="top"/>
          </w:tcPr>
          <w:p>
            <w:r/>
            <w:r>
              <w:rPr>
                <w:b w:val="0"/>
                <w:sz w:val="16"/>
              </w:rPr>
              <w:t>jin_can_2024</w:t>
            </w:r>
          </w:p>
        </w:tc>
        <w:tc>
          <w:tcPr>
            <w:tcW w:type="dxa" w:w="5256"/>
            <w:vAlign w:val="top"/>
          </w:tcPr>
          <w:p>
            <w:r/>
            <w:r>
              <w:rPr>
                <w:b w:val="0"/>
                <w:sz w:val="16"/>
              </w:rPr>
              <w:t>Prompting/Workflow: task-dependent ChatGPT support requires prompt refinement and inspection.</w:t>
            </w:r>
          </w:p>
        </w:tc>
      </w:tr>
      <w:tr>
        <w:tc>
          <w:tcPr>
            <w:tcW w:type="dxa" w:w="5256"/>
            <w:vAlign w:val="top"/>
          </w:tcPr>
          <w:p>
            <w:r/>
            <w:r>
              <w:rPr>
                <w:b w:val="0"/>
                <w:sz w:val="16"/>
              </w:rPr>
              <w:t>fayed_prompt-driven_2026</w:t>
            </w:r>
          </w:p>
        </w:tc>
        <w:tc>
          <w:tcPr>
            <w:tcW w:type="dxa" w:w="5256"/>
            <w:vAlign w:val="top"/>
          </w:tcPr>
          <w:p>
            <w:r/>
            <w:r>
              <w:rPr>
                <w:b w:val="0"/>
                <w:sz w:val="16"/>
              </w:rPr>
              <w:t>Prompting/Workflow: prompt-driven development cycles through generated artefacts, inspection and correction.</w:t>
            </w:r>
          </w:p>
        </w:tc>
      </w:tr>
      <w:tr>
        <w:tc>
          <w:tcPr>
            <w:tcW w:type="dxa" w:w="5256"/>
            <w:vAlign w:val="top"/>
          </w:tcPr>
          <w:p>
            <w:r/>
            <w:r>
              <w:rPr>
                <w:b w:val="0"/>
                <w:sz w:val="16"/>
              </w:rPr>
              <w:t>li_prompting_2024</w:t>
            </w:r>
          </w:p>
        </w:tc>
        <w:tc>
          <w:tcPr>
            <w:tcW w:type="dxa" w:w="5256"/>
            <w:vAlign w:val="top"/>
          </w:tcPr>
          <w:p>
            <w:r/>
            <w:r>
              <w:rPr>
                <w:b w:val="0"/>
                <w:sz w:val="16"/>
              </w:rPr>
              <w:t>Prompting/Robustness: lifecycle prompting expands coverage but phase reliability remains uneven.</w:t>
            </w:r>
          </w:p>
        </w:tc>
      </w:tr>
      <w:tr>
        <w:tc>
          <w:tcPr>
            <w:tcW w:type="dxa" w:w="5256"/>
            <w:vAlign w:val="top"/>
          </w:tcPr>
          <w:p>
            <w:r/>
            <w:r>
              <w:rPr>
                <w:b w:val="0"/>
                <w:sz w:val="16"/>
              </w:rPr>
              <w:t>hellas_exploring_2023</w:t>
            </w:r>
          </w:p>
        </w:tc>
        <w:tc>
          <w:tcPr>
            <w:tcW w:type="dxa" w:w="5256"/>
            <w:vAlign w:val="top"/>
          </w:tcPr>
          <w:p>
            <w:r/>
            <w:r>
              <w:rPr>
                <w:b w:val="0"/>
                <w:sz w:val="16"/>
              </w:rPr>
              <w:t>Experience/Learning: beginner help becomes more accessible but incomplete diagnoses and false positives limit comprehension.</w:t>
            </w:r>
          </w:p>
        </w:tc>
      </w:tr>
      <w:tr>
        <w:tc>
          <w:tcPr>
            <w:tcW w:type="dxa" w:w="5256"/>
            <w:vAlign w:val="top"/>
          </w:tcPr>
          <w:p>
            <w:r/>
            <w:r>
              <w:rPr>
                <w:b w:val="0"/>
                <w:sz w:val="16"/>
              </w:rPr>
              <w:t>bento_leveraging_2025</w:t>
            </w:r>
          </w:p>
        </w:tc>
        <w:tc>
          <w:tcPr>
            <w:tcW w:type="dxa" w:w="5256"/>
            <w:vAlign w:val="top"/>
          </w:tcPr>
          <w:p>
            <w:r/>
            <w:r>
              <w:rPr>
                <w:b w:val="0"/>
                <w:sz w:val="16"/>
              </w:rPr>
              <w:t>Experience/Learning: high satisfaction and implementation speed are tempered by over-reliance and uneven quality.</w:t>
            </w:r>
          </w:p>
        </w:tc>
      </w:tr>
      <w:tr>
        <w:tc>
          <w:tcPr>
            <w:tcW w:type="dxa" w:w="5256"/>
            <w:vAlign w:val="top"/>
          </w:tcPr>
          <w:p>
            <w:r/>
            <w:r>
              <w:rPr>
                <w:b w:val="0"/>
                <w:sz w:val="16"/>
              </w:rPr>
              <w:t>corso_generating_2024</w:t>
            </w:r>
          </w:p>
        </w:tc>
        <w:tc>
          <w:tcPr>
            <w:tcW w:type="dxa" w:w="5256"/>
            <w:vAlign w:val="top"/>
          </w:tcPr>
          <w:p>
            <w:r/>
            <w:r>
              <w:rPr>
                <w:b w:val="0"/>
                <w:sz w:val="16"/>
              </w:rPr>
              <w:t>Trust/Robustness: Java-method quality varies across assistants, supporting comparative validation.</w:t>
            </w:r>
          </w:p>
        </w:tc>
      </w:tr>
      <w:tr>
        <w:tc>
          <w:tcPr>
            <w:tcW w:type="dxa" w:w="5256"/>
            <w:vAlign w:val="top"/>
          </w:tcPr>
          <w:p>
            <w:r/>
            <w:r>
              <w:rPr>
                <w:b w:val="0"/>
                <w:sz w:val="16"/>
              </w:rPr>
              <w:t>haeggstrom_hands-use_2024</w:t>
            </w:r>
          </w:p>
        </w:tc>
        <w:tc>
          <w:tcPr>
            <w:tcW w:type="dxa" w:w="5256"/>
            <w:vAlign w:val="top"/>
          </w:tcPr>
          <w:p>
            <w:r/>
            <w:r>
              <w:rPr>
                <w:b w:val="0"/>
                <w:sz w:val="16"/>
              </w:rPr>
              <w:t>Trust/Experience: adoption grows through iterative testing, prompt refinement and selective use.</w:t>
            </w:r>
          </w:p>
        </w:tc>
      </w:tr>
      <w:tr>
        <w:tc>
          <w:tcPr>
            <w:tcW w:type="dxa" w:w="5256"/>
            <w:vAlign w:val="top"/>
          </w:tcPr>
          <w:p>
            <w:r/>
            <w:r>
              <w:rPr>
                <w:b w:val="0"/>
                <w:sz w:val="16"/>
              </w:rPr>
              <w:t>suryavanshi_effects_2025</w:t>
            </w:r>
          </w:p>
        </w:tc>
        <w:tc>
          <w:tcPr>
            <w:tcW w:type="dxa" w:w="5256"/>
            <w:vAlign w:val="top"/>
          </w:tcPr>
          <w:p>
            <w:r/>
            <w:r>
              <w:rPr>
                <w:b w:val="0"/>
                <w:sz w:val="16"/>
              </w:rPr>
              <w:t>Workflow/Trust/Experience: perceived productivity is balanced by dependency and critical-engagement concerns.</w:t>
            </w:r>
          </w:p>
        </w:tc>
      </w:tr>
      <w:tr>
        <w:tc>
          <w:tcPr>
            <w:tcW w:type="dxa" w:w="5256"/>
            <w:vAlign w:val="top"/>
          </w:tcPr>
          <w:p>
            <w:r/>
            <w:r>
              <w:rPr>
                <w:b w:val="0"/>
                <w:sz w:val="16"/>
              </w:rPr>
              <w:t>madampe_how_2025</w:t>
            </w:r>
          </w:p>
        </w:tc>
        <w:tc>
          <w:tcPr>
            <w:tcW w:type="dxa" w:w="5256"/>
            <w:vAlign w:val="top"/>
          </w:tcPr>
          <w:p>
            <w:r/>
            <w:r>
              <w:rPr>
                <w:b w:val="0"/>
                <w:sz w:val="16"/>
              </w:rPr>
              <w:t>Trust/Experience: privacy-related code is useful only with human validation of requirements and context.</w:t>
            </w:r>
          </w:p>
        </w:tc>
      </w:tr>
      <w:tr>
        <w:tc>
          <w:tcPr>
            <w:tcW w:type="dxa" w:w="5256"/>
            <w:vAlign w:val="top"/>
          </w:tcPr>
          <w:p>
            <w:r/>
            <w:r>
              <w:rPr>
                <w:b w:val="0"/>
                <w:sz w:val="16"/>
              </w:rPr>
              <w:t>takerngsaksiri_students_2024</w:t>
            </w:r>
          </w:p>
        </w:tc>
        <w:tc>
          <w:tcPr>
            <w:tcW w:type="dxa" w:w="5256"/>
            <w:vAlign w:val="top"/>
          </w:tcPr>
          <w:p>
            <w:r/>
            <w:r>
              <w:rPr>
                <w:b w:val="0"/>
                <w:sz w:val="16"/>
              </w:rPr>
              <w:t>Learning/Experience overlap: productivity and tutor-like benefits coexist with 90% over-reliance concern.</w:t>
            </w:r>
          </w:p>
        </w:tc>
      </w:tr>
      <w:tr>
        <w:tc>
          <w:tcPr>
            <w:tcW w:type="dxa" w:w="5256"/>
            <w:vAlign w:val="top"/>
          </w:tcPr>
          <w:p>
            <w:r/>
            <w:r>
              <w:rPr>
                <w:b w:val="0"/>
                <w:sz w:val="16"/>
              </w:rPr>
              <w:t>rahe_how_2025</w:t>
            </w:r>
          </w:p>
        </w:tc>
        <w:tc>
          <w:tcPr>
            <w:tcW w:type="dxa" w:w="5256"/>
            <w:vAlign w:val="top"/>
          </w:tcPr>
          <w:p>
            <w:r/>
            <w:r>
              <w:rPr>
                <w:b w:val="0"/>
                <w:sz w:val="16"/>
              </w:rPr>
              <w:t>Prompting/Learning: student prompting literacy and GPT-4 syntactic reliability still require course framing.</w:t>
            </w:r>
          </w:p>
        </w:tc>
      </w:tr>
      <w:tr>
        <w:tc>
          <w:tcPr>
            <w:tcW w:type="dxa" w:w="5256"/>
            <w:vAlign w:val="top"/>
          </w:tcPr>
          <w:p>
            <w:r/>
            <w:r>
              <w:rPr>
                <w:b w:val="0"/>
                <w:sz w:val="16"/>
              </w:rPr>
              <w:t>yang_codeclash_2026</w:t>
            </w:r>
          </w:p>
        </w:tc>
        <w:tc>
          <w:tcPr>
            <w:tcW w:type="dxa" w:w="5256"/>
            <w:vAlign w:val="top"/>
          </w:tcPr>
          <w:p>
            <w:r/>
            <w:r>
              <w:rPr>
                <w:b w:val="0"/>
                <w:sz w:val="16"/>
              </w:rPr>
              <w:t>Robustness/Agentic reliability: multi-agent goal pursuit shows strategic and feedback-interpretation failures.</w:t>
            </w:r>
          </w:p>
        </w:tc>
      </w:tr>
      <w:tr>
        <w:tc>
          <w:tcPr>
            <w:tcW w:type="dxa" w:w="5256"/>
            <w:vAlign w:val="top"/>
          </w:tcPr>
          <w:p>
            <w:r/>
            <w:r>
              <w:rPr>
                <w:b w:val="0"/>
                <w:sz w:val="16"/>
              </w:rPr>
              <w:t>fang_evalooop_2025</w:t>
            </w:r>
          </w:p>
        </w:tc>
        <w:tc>
          <w:tcPr>
            <w:tcW w:type="dxa" w:w="5256"/>
            <w:vAlign w:val="top"/>
          </w:tcPr>
          <w:p>
            <w:r/>
            <w:r>
              <w:rPr>
                <w:b w:val="0"/>
                <w:sz w:val="16"/>
              </w:rPr>
              <w:t>Robustness: self-consistency-centred evaluation exposes output instability hidden by top-1 accuracy.</w:t>
            </w:r>
          </w:p>
        </w:tc>
      </w:tr>
      <w:tr>
        <w:tc>
          <w:tcPr>
            <w:tcW w:type="dxa" w:w="5256"/>
            <w:vAlign w:val="top"/>
          </w:tcPr>
          <w:p>
            <w:r/>
            <w:r>
              <w:rPr>
                <w:b w:val="0"/>
                <w:sz w:val="16"/>
              </w:rPr>
              <w:t>chen_code_2025</w:t>
            </w:r>
          </w:p>
        </w:tc>
        <w:tc>
          <w:tcPr>
            <w:tcW w:type="dxa" w:w="5256"/>
            <w:vAlign w:val="top"/>
          </w:tcPr>
          <w:p>
            <w:r/>
            <w:r>
              <w:rPr>
                <w:b w:val="0"/>
                <w:sz w:val="16"/>
              </w:rPr>
              <w:t>Workflow/Experience: automation improves completion but shifts work to monitoring and requires better observability.</w:t>
            </w:r>
          </w:p>
        </w:tc>
      </w:tr>
      <w:tr>
        <w:tc>
          <w:tcPr>
            <w:tcW w:type="dxa" w:w="5256"/>
            <w:vAlign w:val="top"/>
          </w:tcPr>
          <w:p>
            <w:r/>
            <w:r>
              <w:rPr>
                <w:b w:val="0"/>
                <w:sz w:val="16"/>
              </w:rPr>
              <w:t>geyer_case_2025</w:t>
            </w:r>
          </w:p>
        </w:tc>
        <w:tc>
          <w:tcPr>
            <w:tcW w:type="dxa" w:w="5256"/>
            <w:vAlign w:val="top"/>
          </w:tcPr>
          <w:p>
            <w:r/>
            <w:r>
              <w:rPr>
                <w:b w:val="0"/>
                <w:sz w:val="16"/>
              </w:rPr>
              <w:t>Workflow/Experience: project artefact review support structures discussion but leaves interpretation to humans.</w:t>
            </w:r>
          </w:p>
        </w:tc>
      </w:tr>
      <w:tr>
        <w:tc>
          <w:tcPr>
            <w:tcW w:type="dxa" w:w="5256"/>
            <w:vAlign w:val="top"/>
          </w:tcPr>
          <w:p>
            <w:r/>
            <w:r>
              <w:rPr>
                <w:b w:val="0"/>
                <w:sz w:val="16"/>
              </w:rPr>
              <w:t>surk_reducing_2026</w:t>
            </w:r>
          </w:p>
        </w:tc>
        <w:tc>
          <w:tcPr>
            <w:tcW w:type="dxa" w:w="5256"/>
            <w:vAlign w:val="top"/>
          </w:tcPr>
          <w:p>
            <w:r/>
            <w:r>
              <w:rPr>
                <w:b w:val="0"/>
                <w:sz w:val="16"/>
              </w:rPr>
              <w:t>Workflow/Experience: reverse engineering mediates product-developer understanding rather than serving as coding automation.</w:t>
            </w:r>
          </w:p>
        </w:tc>
      </w:tr>
    </w:tbl>
    <w:p>
      <w:pPr>
        <w:pStyle w:val="Heading1"/>
      </w:pPr>
      <w:r>
        <w:t>5. Segment summary</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D9EAF7"/>
          </w:tcPr>
          <w:p>
            <w:r/>
            <w:r>
              <w:rPr>
                <w:b/>
                <w:sz w:val="16"/>
              </w:rPr>
              <w:t>Bibkey</w:t>
            </w:r>
          </w:p>
        </w:tc>
        <w:tc>
          <w:tcPr>
            <w:tcW w:type="dxa" w:w="3504"/>
            <w:shd w:fill="D9EAF7"/>
          </w:tcPr>
          <w:p>
            <w:r/>
            <w:r>
              <w:rPr>
                <w:b/>
                <w:sz w:val="16"/>
              </w:rPr>
              <w:t>Segment</w:t>
            </w:r>
          </w:p>
        </w:tc>
        <w:tc>
          <w:tcPr>
            <w:tcW w:type="dxa" w:w="3504"/>
            <w:shd w:fill="D9EAF7"/>
          </w:tcPr>
          <w:p>
            <w:r/>
            <w:r>
              <w:rPr>
                <w:b/>
                <w:sz w:val="16"/>
              </w:rPr>
              <w:t>Reason for exclusion</w:t>
            </w:r>
          </w:p>
        </w:tc>
      </w:tr>
      <w:tr>
        <w:tc>
          <w:tcPr>
            <w:tcW w:type="dxa" w:w="3504"/>
            <w:vAlign w:val="top"/>
          </w:tcPr>
          <w:p>
            <w:r/>
            <w:r>
              <w:rPr>
                <w:b w:val="0"/>
                <w:sz w:val="16"/>
              </w:rPr>
              <w:t>li_assessing_2024</w:t>
            </w:r>
          </w:p>
        </w:tc>
        <w:tc>
          <w:tcPr>
            <w:tcW w:type="dxa" w:w="3504"/>
            <w:vAlign w:val="top"/>
          </w:tcPr>
          <w:p>
            <w:r/>
            <w:r>
              <w:rPr>
                <w:b w:val="0"/>
                <w:sz w:val="16"/>
              </w:rPr>
              <w:t>PERIPHERAL</w:t>
            </w:r>
          </w:p>
        </w:tc>
        <w:tc>
          <w:tcPr>
            <w:tcW w:type="dxa" w:w="3504"/>
            <w:vAlign w:val="top"/>
          </w:tcPr>
          <w:p>
            <w:r/>
            <w:r>
              <w:rPr>
                <w:b w:val="0"/>
                <w:sz w:val="16"/>
              </w:rPr>
              <w:t>Peripheral relevance to HAI support; retained only as possible context, not as an analytical anchor.</w:t>
            </w:r>
          </w:p>
        </w:tc>
      </w:tr>
      <w:tr>
        <w:tc>
          <w:tcPr>
            <w:tcW w:type="dxa" w:w="3504"/>
            <w:vAlign w:val="top"/>
          </w:tcPr>
          <w:p>
            <w:r/>
            <w:r>
              <w:rPr>
                <w:b w:val="0"/>
                <w:sz w:val="16"/>
              </w:rPr>
              <w:t>coignion_performance_2024</w:t>
            </w:r>
          </w:p>
        </w:tc>
        <w:tc>
          <w:tcPr>
            <w:tcW w:type="dxa" w:w="3504"/>
            <w:vAlign w:val="top"/>
          </w:tcPr>
          <w:p>
            <w:r/>
            <w:r>
              <w:rPr>
                <w:b w:val="0"/>
                <w:sz w:val="16"/>
              </w:rPr>
              <w:t>PERIPHERAL</w:t>
            </w:r>
          </w:p>
        </w:tc>
        <w:tc>
          <w:tcPr>
            <w:tcW w:type="dxa" w:w="3504"/>
            <w:vAlign w:val="top"/>
          </w:tcPr>
          <w:p>
            <w:r/>
            <w:r>
              <w:rPr>
                <w:b w:val="0"/>
                <w:sz w:val="16"/>
              </w:rPr>
              <w:t>Peripheral relevance to HAI support; retained only as possible context, not as an analytical anchor.</w:t>
            </w:r>
          </w:p>
        </w:tc>
      </w:tr>
      <w:tr>
        <w:tc>
          <w:tcPr>
            <w:tcW w:type="dxa" w:w="3504"/>
            <w:vAlign w:val="top"/>
          </w:tcPr>
          <w:p>
            <w:r/>
            <w:r>
              <w:rPr>
                <w:b w:val="0"/>
                <w:sz w:val="16"/>
              </w:rPr>
              <w:t>seker_experiences_2024</w:t>
            </w:r>
          </w:p>
        </w:tc>
        <w:tc>
          <w:tcPr>
            <w:tcW w:type="dxa" w:w="3504"/>
            <w:vAlign w:val="top"/>
          </w:tcPr>
          <w:p>
            <w:r/>
            <w:r>
              <w:rPr>
                <w:b w:val="0"/>
                <w:sz w:val="16"/>
              </w:rPr>
              <w:t>REMOVE_CANDIDATE</w:t>
            </w:r>
          </w:p>
        </w:tc>
        <w:tc>
          <w:tcPr>
            <w:tcW w:type="dxa" w:w="3504"/>
            <w:vAlign w:val="top"/>
          </w:tcPr>
          <w:p>
            <w:r/>
            <w:r>
              <w:rPr>
                <w:b w:val="0"/>
                <w:sz w:val="16"/>
              </w:rPr>
              <w:t>Flagged as REMOVE_CANDIDATE in the corpus audit; excluded entirely from analytical evidence.</w:t>
            </w:r>
          </w:p>
        </w:tc>
      </w:tr>
      <w:tr>
        <w:tc>
          <w:tcPr>
            <w:tcW w:type="dxa" w:w="3504"/>
            <w:vAlign w:val="top"/>
          </w:tcPr>
          <w:p>
            <w:r/>
            <w:r>
              <w:rPr>
                <w:b w:val="0"/>
                <w:sz w:val="16"/>
              </w:rPr>
              <w:t>fajkovic_impact_2023</w:t>
            </w:r>
          </w:p>
        </w:tc>
        <w:tc>
          <w:tcPr>
            <w:tcW w:type="dxa" w:w="3504"/>
            <w:vAlign w:val="top"/>
          </w:tcPr>
          <w:p>
            <w:r/>
            <w:r>
              <w:rPr>
                <w:b w:val="0"/>
                <w:sz w:val="16"/>
              </w:rPr>
              <w:t>REMOVE_CANDIDATE</w:t>
            </w:r>
          </w:p>
        </w:tc>
        <w:tc>
          <w:tcPr>
            <w:tcW w:type="dxa" w:w="3504"/>
            <w:vAlign w:val="top"/>
          </w:tcPr>
          <w:p>
            <w:r/>
            <w:r>
              <w:rPr>
                <w:b w:val="0"/>
                <w:sz w:val="16"/>
              </w:rPr>
              <w:t>Flagged as REMOVE_CANDIDATE in the corpus audit; excluded entirely from analytical evidence.</w:t>
            </w:r>
          </w:p>
        </w:tc>
      </w:tr>
      <w:tr>
        <w:tc>
          <w:tcPr>
            <w:tcW w:type="dxa" w:w="3504"/>
            <w:vAlign w:val="top"/>
          </w:tcPr>
          <w:p>
            <w:r/>
            <w:r>
              <w:rPr>
                <w:b w:val="0"/>
                <w:sz w:val="16"/>
              </w:rPr>
              <w:t>ahmad_towards_2023</w:t>
            </w:r>
          </w:p>
        </w:tc>
        <w:tc>
          <w:tcPr>
            <w:tcW w:type="dxa" w:w="3504"/>
            <w:vAlign w:val="top"/>
          </w:tcPr>
          <w:p>
            <w:r/>
            <w:r>
              <w:rPr>
                <w:b w:val="0"/>
                <w:sz w:val="16"/>
              </w:rPr>
              <w:t>REMOVE_CANDIDATE</w:t>
            </w:r>
          </w:p>
        </w:tc>
        <w:tc>
          <w:tcPr>
            <w:tcW w:type="dxa" w:w="3504"/>
            <w:vAlign w:val="top"/>
          </w:tcPr>
          <w:p>
            <w:r/>
            <w:r>
              <w:rPr>
                <w:b w:val="0"/>
                <w:sz w:val="16"/>
              </w:rPr>
              <w:t>Flagged as REMOVE_CANDIDATE in the corpus audit; excluded entirely from analytical evidence.</w:t>
            </w:r>
          </w:p>
        </w:tc>
      </w:tr>
      <w:tr>
        <w:tc>
          <w:tcPr>
            <w:tcW w:type="dxa" w:w="3504"/>
            <w:vAlign w:val="top"/>
          </w:tcPr>
          <w:p>
            <w:r/>
            <w:r>
              <w:rPr>
                <w:b w:val="0"/>
                <w:sz w:val="16"/>
              </w:rPr>
              <w:t>nikolaidis_comparison_2024</w:t>
            </w:r>
          </w:p>
        </w:tc>
        <w:tc>
          <w:tcPr>
            <w:tcW w:type="dxa" w:w="3504"/>
            <w:vAlign w:val="top"/>
          </w:tcPr>
          <w:p>
            <w:r/>
            <w:r>
              <w:rPr>
                <w:b w:val="0"/>
                <w:sz w:val="16"/>
              </w:rPr>
              <w:t>PERIPHERAL</w:t>
            </w:r>
          </w:p>
        </w:tc>
        <w:tc>
          <w:tcPr>
            <w:tcW w:type="dxa" w:w="3504"/>
            <w:vAlign w:val="top"/>
          </w:tcPr>
          <w:p>
            <w:r/>
            <w:r>
              <w:rPr>
                <w:b w:val="0"/>
                <w:sz w:val="16"/>
              </w:rPr>
              <w:t>Peripheral relevance to HAI support; retained only as possible context, not as an analytical anchor.</w:t>
            </w:r>
          </w:p>
        </w:tc>
      </w:tr>
      <w:tr>
        <w:tc>
          <w:tcPr>
            <w:tcW w:type="dxa" w:w="3504"/>
            <w:vAlign w:val="top"/>
          </w:tcPr>
          <w:p>
            <w:r/>
            <w:r>
              <w:rPr>
                <w:b w:val="0"/>
                <w:sz w:val="16"/>
              </w:rPr>
              <w:t>tian_is_2023</w:t>
            </w:r>
          </w:p>
        </w:tc>
        <w:tc>
          <w:tcPr>
            <w:tcW w:type="dxa" w:w="3504"/>
            <w:vAlign w:val="top"/>
          </w:tcPr>
          <w:p>
            <w:r/>
            <w:r>
              <w:rPr>
                <w:b w:val="0"/>
                <w:sz w:val="16"/>
              </w:rPr>
              <w:t>PERIPHERAL</w:t>
            </w:r>
          </w:p>
        </w:tc>
        <w:tc>
          <w:tcPr>
            <w:tcW w:type="dxa" w:w="3504"/>
            <w:vAlign w:val="top"/>
          </w:tcPr>
          <w:p>
            <w:r/>
            <w:r>
              <w:rPr>
                <w:b w:val="0"/>
                <w:sz w:val="16"/>
              </w:rPr>
              <w:t>Peripheral relevance to HAI support; retained only as possible context, not as an analytical anchor.</w:t>
            </w:r>
          </w:p>
        </w:tc>
      </w:tr>
      <w:tr>
        <w:tc>
          <w:tcPr>
            <w:tcW w:type="dxa" w:w="3504"/>
            <w:vAlign w:val="top"/>
          </w:tcPr>
          <w:p>
            <w:r/>
            <w:r>
              <w:rPr>
                <w:b w:val="0"/>
                <w:sz w:val="16"/>
              </w:rPr>
              <w:t>jin_uncovering_2025</w:t>
            </w:r>
          </w:p>
        </w:tc>
        <w:tc>
          <w:tcPr>
            <w:tcW w:type="dxa" w:w="3504"/>
            <w:vAlign w:val="top"/>
          </w:tcPr>
          <w:p>
            <w:r/>
            <w:r>
              <w:rPr>
                <w:b w:val="0"/>
                <w:sz w:val="16"/>
              </w:rPr>
              <w:t>PERIPHERAL</w:t>
            </w:r>
          </w:p>
        </w:tc>
        <w:tc>
          <w:tcPr>
            <w:tcW w:type="dxa" w:w="3504"/>
            <w:vAlign w:val="top"/>
          </w:tcPr>
          <w:p>
            <w:r/>
            <w:r>
              <w:rPr>
                <w:b w:val="0"/>
                <w:sz w:val="16"/>
              </w:rPr>
              <w:t>Peripheral relevance to HAI support; retained only as possible context, not as an analytical anchor.</w:t>
            </w:r>
          </w:p>
        </w:tc>
      </w:tr>
      <w:tr>
        <w:tc>
          <w:tcPr>
            <w:tcW w:type="dxa" w:w="3504"/>
            <w:vAlign w:val="top"/>
          </w:tcPr>
          <w:p>
            <w:r/>
            <w:r>
              <w:rPr>
                <w:b w:val="0"/>
                <w:sz w:val="16"/>
              </w:rPr>
              <w:t>piya_llm4tdd_2024</w:t>
            </w:r>
          </w:p>
        </w:tc>
        <w:tc>
          <w:tcPr>
            <w:tcW w:type="dxa" w:w="3504"/>
            <w:vAlign w:val="top"/>
          </w:tcPr>
          <w:p>
            <w:r/>
            <w:r>
              <w:rPr>
                <w:b w:val="0"/>
                <w:sz w:val="16"/>
              </w:rPr>
              <w:t>PERIPHERAL</w:t>
            </w:r>
          </w:p>
        </w:tc>
        <w:tc>
          <w:tcPr>
            <w:tcW w:type="dxa" w:w="3504"/>
            <w:vAlign w:val="top"/>
          </w:tcPr>
          <w:p>
            <w:r/>
            <w:r>
              <w:rPr>
                <w:b w:val="0"/>
                <w:sz w:val="16"/>
              </w:rPr>
              <w:t>Peripheral relevance to HAI support; retained only as possible context, not as an analytical anchor.</w:t>
            </w:r>
          </w:p>
        </w:tc>
      </w:tr>
      <w:tr>
        <w:tc>
          <w:tcPr>
            <w:tcW w:type="dxa" w:w="3504"/>
            <w:vAlign w:val="top"/>
          </w:tcPr>
          <w:p>
            <w:r/>
            <w:r>
              <w:rPr>
                <w:b w:val="0"/>
                <w:sz w:val="16"/>
              </w:rPr>
              <w:t>li_deveval_2024</w:t>
            </w:r>
          </w:p>
        </w:tc>
        <w:tc>
          <w:tcPr>
            <w:tcW w:type="dxa" w:w="3504"/>
            <w:vAlign w:val="top"/>
          </w:tcPr>
          <w:p>
            <w:r/>
            <w:r>
              <w:rPr>
                <w:b w:val="0"/>
                <w:sz w:val="16"/>
              </w:rPr>
              <w:t>PERIPHERAL</w:t>
            </w:r>
          </w:p>
        </w:tc>
        <w:tc>
          <w:tcPr>
            <w:tcW w:type="dxa" w:w="3504"/>
            <w:vAlign w:val="top"/>
          </w:tcPr>
          <w:p>
            <w:r/>
            <w:r>
              <w:rPr>
                <w:b w:val="0"/>
                <w:sz w:val="16"/>
              </w:rPr>
              <w:t>Peripheral relevance to HAI support; retained only as possible context, not as an analytical anchor.</w:t>
            </w:r>
          </w:p>
        </w:tc>
      </w:tr>
    </w:tbl>
    <w:p>
      <w:pPr>
        <w:pStyle w:val="Heading1"/>
      </w:pPr>
      <w:r>
        <w:t>6. References</w:t>
      </w:r>
    </w:p>
    <w:p>
      <w:r>
        <w:t>[1] Prompting Large Language Models to Tackle the Full Software Development Lifecycle: A Case Study. Li, Bowen; Wu, Wenhan; Tang, Ziwei; Shi, Lin; Yang, John; Li, Jinyang; Yao, Shunyu; Qian, Chen; Hui, Binyuan; Zhang, Qicheng; Yu, Zhiyin; Du, He; Yang, Ping; Lin, Dahua; Peng, Chao; Chen, Kai, 2024. Bibkey: li_prompting_2024.</w:t>
      </w:r>
    </w:p>
    <w:p>
      <w:r>
        <w:t>[2] Prompt-Driven Development with Claude Code: Developing a TUI Framework for the Ring Programming Language. Fayed, Mahmoud Samir; Fayed, Ahmed Samir, 2026. Bibkey: fayed_prompt-driven_2026.</w:t>
      </w:r>
    </w:p>
    <w:p>
      <w:r>
        <w:t>[3] ChatGPT as a Software Development Bot: A Project-based Study. Waseem, Muhammad; Das, Teerath; Ahmad, Aakash; Liang, Peng; Fehmideh, Mahdi; Mikkonen, Tommi, 2024. Bibkey: waseem_chatgpt_2024.</w:t>
      </w:r>
    </w:p>
    <w:p>
      <w:r>
        <w:t>[4] On the Robustness of Code Generation Techniques: An Empirical Study on GitHub Copilot. Mastropaolo, Antonio; Pascarella, Luca; Guglielmi, Emanuela; Ciniselli, Matteo; Scalabrino, Simone; Oliveto, Rocco; Bavota, Gabriele, 2023. Bibkey: mastropaolo_robustness_2023.</w:t>
      </w:r>
    </w:p>
    <w:p>
      <w:r>
        <w:t>[5] Exploring the Robustness of Large Language Models for Solving Programming Problems. Shirafuji, Atsushi; Watanobe, Yutaka; Ito, Takumi; Morishita, Makoto; Nakamura, Yuki; Oda, Yusuke; Suzuki, Jun, 2023. Bibkey: shirafuji_exploring_2023.</w:t>
      </w:r>
    </w:p>
    <w:p>
      <w:r>
        <w:t>[6] SIMCOPILOT: Evaluating Large Language Models for Copilot-Style Code Generation. Jiang, Mingchao; Jain, Abhinav; Zorek, Sophia; Jermaine, Chris, 2025. Bibkey: jiang_simcopilot_2025.</w:t>
      </w:r>
    </w:p>
    <w:p>
      <w:r>
        <w:t>[7] Security Evaluation of AI-Generated Code: A Comparative Study of ChatGPT, Copilot, And Gemini through Static and Dynamic Analysis. Ceran, Onur, 2025. Bibkey: ceran_security_2025.</w:t>
      </w:r>
    </w:p>
    <w:p>
      <w:r>
        <w:t>[8] In-IDE Code Generation from Natural Language: Promise and Challenges. Xu, Frank F.; Vasilescu, Bogdan; Neubig, Graham, 2022. Bibkey: xu_-ide_2022.</w:t>
      </w:r>
    </w:p>
    <w:p>
      <w:r>
        <w:t>[9] GitHub Copilot AI Pair Programmer: Asset or Liability?. Dakhel, Arghavan Moradi; Majdinasab, Vahid; Nikanjam, Amin; Khomh, Foutse; Desmarais, Michel C.; Jiang, Zhen Ming, 2023. Bibkey: dakhel_github_2023.</w:t>
      </w:r>
    </w:p>
    <w:p>
      <w:r>
        <w:t>[10] Can ChatGPT Support Developers? An Empirical Evaluation of Large Language Models for Code Generation. Jin, Kailun; Wang, Chung-Yu; Pham, Hung Viet; Hemmati, Hadi, 2024. Bibkey: jin_can_2024.</w:t>
      </w:r>
    </w:p>
    <w:p>
      <w:r>
        <w:t>[11] Code with Me or for Me? How Increasing AI Automation Transforms Developer Workflows. Chen, Valerie; Talwalkar, Ameet; Brennan, Robert; Neubig, Graham, 2025. Bibkey: chen_code_2025.</w:t>
      </w:r>
    </w:p>
    <w:p>
      <w:r>
        <w:t>[12] Exploring the Challenges and Opportunities of AI-assisted Codebase Generation. Eibl, Philipp; Sabouri, Sadra; Chattopadhyay, Souti, 2025. Bibkey: eibl_exploring_2025.</w:t>
      </w:r>
    </w:p>
    <w:p>
      <w:r>
        <w:t>[13] LoCoBench: A Benchmark for Long-Context Large Language Models in Complex Software Engineering. Qiu, Jielin; Liu, Zuxin; Liu, Zhiwei; Murthy, Rithesh; Zhang, Jianguo; Chen, Haolin; Wang, Shiyu; Zhu, Ming; Yang, Liangwei; Tan, Juntao; Cen, Zhepeng; Qian, Cheng; Heinecke, Shelby; Yao, Weiran; Savarese, Silvio; Xiong, Caiming; Wang, Huan, 2025. Bibkey: qiu_locobench_2025.</w:t>
      </w:r>
    </w:p>
    <w:p>
      <w:r>
        <w:t>[14] Expectation vs. Experience: Evaluating the Usability of Code Generation Tools Powered by Large Language Models. Vaithilingam, Priyan; Zhang, Tianyi; Glassman, Elena L., 2022. Bibkey: vaithilingam_expectation_2022.</w:t>
      </w:r>
    </w:p>
    <w:p>
      <w:r>
        <w:t>[15] A Large-Scale Survey on the Usability of AI Programming Assistants: Successes and Challenges. Liang, Jenny T.; Yang, Chenyang; Myers, Brad A., 2024. Bibkey: liang_large-scale_2024.</w:t>
      </w:r>
    </w:p>
    <w:p>
      <w:r>
        <w:t>[16] How Far are AI-powered Programming Assistants from Meeting Developers' Needs?. Tan, Xin; Long, Xiao; Ni, Xianjun; Zhu, Yinghao; Jiang, Jing; Zhang, Li, 2024. Bibkey: tan_how_2024.</w:t>
      </w:r>
    </w:p>
    <w:p>
      <w:r>
        <w:t>[17] Beyond Accuracy: Evaluating Self-Consistency of Code Large Language Models with IdentityChain. Min, Marcus J.; Ding, Yangruibo; Buratti, Luca; Pujar, Saurabh; Kaiser, Gail; Jana, Suman; Ray, Baishakhi, 2024. Bibkey: min_beyond_2024.</w:t>
      </w:r>
    </w:p>
    <w:p>
      <w:r>
        <w:t>[18] Methodology for Code Synthesis Evaluation of LLMs Presented by a Case Study of ChatGPT and Copilot. Ságodi, Zoltán; Siket, István; Ferenc, Rudolf, 2024. Bibkey: sagodi_methodology_2024.</w:t>
      </w:r>
    </w:p>
    <w:p>
      <w:r>
        <w:t>[19] On the Use of ChatGPT for Code Review: Do Developers Like Reviews By ChatGPT?. Watanabe, Miku; Kashiwa, Yutaro; Lin, Bin; Hirao, Toshiki; Yamaguchi, Ken'Ichi; Iida, Hajimu, 2024. Bibkey: watanabe_use_2024.</w:t>
      </w:r>
    </w:p>
    <w:p>
      <w:r>
        <w:t>[20] How Well Do Large Language Models Serve as End-to-End Secure Code Agents for Python?. Gong, Jianian; Duan, Nachuan; Tao, Ziheng; Gong, Zhaohui; Yuan, Yuan; Huang, Minlie, 2025. Bibkey: gong_how_2025.</w:t>
      </w:r>
    </w:p>
    <w:p>
      <w:r>
        <w:t>[21] Codexity: Secure AI-assisted Code Generation. Kim, Sung Yong; Fan, Zhiyu; Noller, Yannic; Roychoudhury, Abhik, 2024. Bibkey: kim_codexity_2024.</w:t>
      </w:r>
    </w:p>
    <w:p>
      <w:r>
        <w:t>[22] Is GitHub Copilot a Substitute for Human Pair-programming? An Empirical Study. Imai, Saki, 2022. Bibkey: imai_is_2022.</w:t>
      </w:r>
    </w:p>
    <w:p>
      <w:r>
        <w:t>[23] "You're on a bicycle with a little motor": Benefits and Challenges of Using AI Code Assistants. Mendes, Wendy; Souza, Samara; De Souza, Cleidson, 2024. Bibkey: mendes_youre_2024.</w:t>
      </w:r>
    </w:p>
    <w:p>
      <w:r>
        <w:t>[24] Exploring the Responses of Large Language Models to Beginner Programmers’ Help Requests. Hellas, Arto; Leinonen, Juho; Sarsa, Sami; Koutcheme, Charles; Kujanpää, Lilja; Sorva, Juha, 2023. Bibkey: hellas_exploring_2023.</w:t>
      </w:r>
    </w:p>
    <w:p>
      <w:r>
        <w:t>[25] Students' Perspectives on AI Code Completion: Benefits and Challenges. Takerngsaksiri, Wannita; Warusavitarne, Cleshan; Yaacoub, Christian; Keng Hou, Matthew Hee; Tantithamthavorn, Chakkrit, 2024. Bibkey: takerngsaksiri_students_2024.</w:t>
      </w:r>
    </w:p>
    <w:p>
      <w:r>
        <w:t>[26] How Do Programming Students Use Generative AI?. Rahe, Christian; Maalej, Walid, 2025. Bibkey: rahe_how_2025.</w:t>
      </w:r>
    </w:p>
    <w:p>
      <w:r>
        <w:t>[27] EVALOOOP: A Self-Consistency-Centered Framework for Assessing Large Language Model Robustness in Programming. Fang, Sen; Ding, Weiyuan; Zhang, Mengshi; Chen, Zihao; Xu, Bowen, 2025. Bibkey: fang_evalooop_2025.</w:t>
      </w:r>
    </w:p>
    <w:p>
      <w:r>
        <w:t>[28] ImpossibleBench: Measuring LLMs' Propensity of Exploiting Test Cases. Zhong, Ziqian; Raghunathan, Aditi; Carlini, Nicholas, 2025. Bibkey: zhong_impossiblebench_2025.</w:t>
      </w:r>
    </w:p>
    <w:p>
      <w:r>
        <w:t>[29] FeatBench: Towards More Realistic Evaluation of Feature-level Code Generation. Chen, Haorui; Li, Chengze; Li, Jia, 2026. Bibkey: chen_featbench_2026.</w:t>
      </w:r>
    </w:p>
    <w:p>
      <w:r>
        <w:t>[30] CodeClash: Benchmarking Goal-Oriented Software Engineering. Yang, John; Lieret, Kilian; Yang, Joyce; Jimenez, Carlos E.; Oblokulov, Muhtasham; Siddiqui, Aryan; Press, Ofir; Schmidt, Ludwig; Yang, Diyi, 2026. Bibkey: yang_codeclash_2026.</w:t>
      </w:r>
    </w:p>
    <w:p>
      <w:r>
        <w:t>[31] Measuring the Runtime Performance of C++ Code Written by Humans using GitHub Copilot. Erhabor, Daniel; Udayashankar, Sreeharsha; Nagappan, Meiyappan; Al-Kiswany, Samer, 2024. Bibkey: erhabor_measuring_2024.</w:t>
      </w:r>
    </w:p>
    <w:p>
      <w:r>
        <w:t>[32] Reducing Information Asymmetry in Software Product Management: An LLM-Based Reverse Engineering Framework. Surk, Emre; Menekşe Dalveren, Gonca Gökçe; Mohammad, Derawi, 2026. Bibkey: surk_reducing_2026.</w:t>
      </w:r>
    </w:p>
    <w:p>
      <w:r>
        <w:t>[33] Leveraging AI Tools in Engineering Education: Promise and Pitfalls of AI in Software Development. Bento, Antonio Carlos; Silva, José Reinaldo; Barretto, Marcos Ribeiro Pereira; Camacho-León, Sérgio; Torres-Torres, Elsa Yolanda, 2025. Bibkey: bento_leveraging_2025.</w:t>
      </w:r>
    </w:p>
    <w:p>
      <w:r>
        <w:t>[34] How Effective are LLMs for Data Science Coding? A Controlled Experiment. Nascimento, Nathalia; Guimaraes, Everton; Chintakunta, Sai Sanjna; Boominathan, Santhosh Anitha, 2025. Bibkey: nascimento_how_2025.</w:t>
      </w:r>
    </w:p>
    <w:p>
      <w:r>
        <w:t>[35] The Effects of AI-Assisted Programming in Software Engineering: A Study on GitHub Copilot. Suryavanshi, Pradnya Niwas; Jadhav, Dr Ramesh D, 2025. Bibkey: suryavanshi_effects_2025.</w:t>
      </w:r>
    </w:p>
    <w:p>
      <w:r>
        <w:t>[36] A Case Study Investigating the Role of Generative AI in Quality Evaluations of Epics in Agile Software Development. Geyer, Werner; He, Jessic; Sarkar, Daita; Brachman, Michelle; Hammond, Chris; Heins, Jennifer; Ashktorab, Zahra; Rosemberg, Carlos; Hill, Charlie, 2025. Bibkey: geyer_case_2025.</w:t>
      </w:r>
    </w:p>
    <w:p>
      <w:r>
        <w:t>[37] An Empirical Study on Usage and Perceptions of LLMs in a Software Engineering Project. Rasnayaka, Sanka; Wang, Guanlin; Shariffdeen, Ridwan; Iyer, Ganesh Neelakanta, 2024. Bibkey: rasnayaka_empirical_2024.</w:t>
      </w:r>
    </w:p>
    <w:p>
      <w:r>
        <w:t>[38] Generating Java Methods: An Empirical Assessment of Four AI-Based Code Assistants. Corso, Vincenzo; Mariani, Leonardo; Micucci, Daniela; Riganelli, Oliviero, 2024. Bibkey: corso_generating_2024.</w:t>
      </w:r>
    </w:p>
    <w:p>
      <w:r>
        <w:t>[39] Hands-on Use and Adaptation of AI in Developing and Testing Software Applications. Haeggström, Märta, 2024. Bibkey: haeggstrom_hands-use_2024.</w:t>
      </w:r>
    </w:p>
    <w:p>
      <w:r>
        <w:t>[40] How Are We Doing With Using AI-Based Programming Assistants For Privacy-Related Code Generation? The Developers' Experience. Madampe, Kashumi; Grundy, John; Arachchilage, Nalin, 2025. Bibkey: madampe_how_2025.</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Phase 2.3 — NB4 HAI SUPPORT Consolidated Evidence Profile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