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Phase 1.5 — NB5 Small Dimensions: Economic Impact Dimension Analytical Narrative</w:t>
      </w:r>
    </w:p>
    <w:p>
      <w:r>
        <w:t>Scope note: this document was regenerated from the Economic sheet of Papers_Dimensiones_Pequeñas.xlsx and the Google Drive corpus folders supplied by the user. Direct economic evidence is thin; most anchors are treated as economic proxies rather than formal cost, ROI, or TCO analyses.</w:t>
      </w:r>
    </w:p>
    <w:p>
      <w:pPr>
        <w:pStyle w:val="Heading1"/>
      </w:pPr>
      <w:r>
        <w:t>1. Evidence matrix</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1168"/>
            <w:vAlign w:val="top"/>
          </w:tcPr>
          <w:p>
            <w:r>
              <w:rPr>
                <w:sz w:val="14"/>
              </w:rPr>
              <w:t>Bibkey</w:t>
            </w:r>
          </w:p>
        </w:tc>
        <w:tc>
          <w:tcPr>
            <w:tcW w:type="dxa" w:w="1168"/>
            <w:vAlign w:val="top"/>
          </w:tcPr>
          <w:p>
            <w:r>
              <w:rPr>
                <w:sz w:val="14"/>
              </w:rPr>
              <w:t>Source notebook</w:t>
            </w:r>
          </w:p>
        </w:tc>
        <w:tc>
          <w:tcPr>
            <w:tcW w:type="dxa" w:w="1168"/>
            <w:vAlign w:val="top"/>
          </w:tcPr>
          <w:p>
            <w:r>
              <w:rPr>
                <w:sz w:val="14"/>
              </w:rPr>
              <w:t>Quality tier</w:t>
            </w:r>
          </w:p>
        </w:tc>
        <w:tc>
          <w:tcPr>
            <w:tcW w:type="dxa" w:w="1168"/>
            <w:vAlign w:val="top"/>
          </w:tcPr>
          <w:p>
            <w:r>
              <w:rPr>
                <w:sz w:val="14"/>
              </w:rPr>
              <w:t>Segment</w:t>
            </w:r>
          </w:p>
        </w:tc>
        <w:tc>
          <w:tcPr>
            <w:tcW w:type="dxa" w:w="1168"/>
            <w:vAlign w:val="top"/>
          </w:tcPr>
          <w:p>
            <w:r>
              <w:rPr>
                <w:sz w:val="14"/>
              </w:rPr>
              <w:t>Key finding</w:t>
            </w:r>
          </w:p>
        </w:tc>
        <w:tc>
          <w:tcPr>
            <w:tcW w:type="dxa" w:w="1168"/>
            <w:vAlign w:val="top"/>
          </w:tcPr>
          <w:p>
            <w:r>
              <w:rPr>
                <w:sz w:val="14"/>
              </w:rPr>
              <w:t>Metric/value</w:t>
            </w:r>
          </w:p>
        </w:tc>
        <w:tc>
          <w:tcPr>
            <w:tcW w:type="dxa" w:w="1168"/>
            <w:vAlign w:val="top"/>
          </w:tcPr>
          <w:p>
            <w:r>
              <w:rPr>
                <w:sz w:val="14"/>
              </w:rPr>
              <w:t>Directionality</w:t>
            </w:r>
          </w:p>
        </w:tc>
        <w:tc>
          <w:tcPr>
            <w:tcW w:type="dxa" w:w="1168"/>
            <w:vAlign w:val="top"/>
          </w:tcPr>
          <w:p>
            <w:r>
              <w:rPr>
                <w:sz w:val="14"/>
              </w:rPr>
              <w:t>PDF section + page</w:t>
            </w:r>
          </w:p>
        </w:tc>
        <w:tc>
          <w:tcPr>
            <w:tcW w:type="dxa" w:w="1168"/>
            <w:vAlign w:val="top"/>
          </w:tcPr>
          <w:p>
            <w:r>
              <w:rPr>
                <w:sz w:val="14"/>
              </w:rPr>
              <w:t>Economic dimension</w:t>
            </w:r>
          </w:p>
        </w:tc>
      </w:tr>
      <w:tr>
        <w:tc>
          <w:tcPr>
            <w:tcW w:type="dxa" w:w="1168"/>
            <w:vAlign w:val="top"/>
          </w:tcPr>
          <w:p>
            <w:r>
              <w:rPr>
                <w:sz w:val="14"/>
              </w:rPr>
              <w:t>rodriguez_comparative_2025</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Primary / PERIPHERAL</w:t>
            </w:r>
          </w:p>
        </w:tc>
        <w:tc>
          <w:tcPr>
            <w:tcW w:type="dxa" w:w="1168"/>
            <w:vAlign w:val="top"/>
          </w:tcPr>
          <w:p>
            <w:r>
              <w:rPr>
                <w:sz w:val="14"/>
              </w:rPr>
              <w:t>Single-case TCO model compares junior human capital with GitHub Copilot for a Costa Rican FinTech setting; useful for context, not as a structural anchor.</w:t>
            </w:r>
          </w:p>
        </w:tc>
        <w:tc>
          <w:tcPr>
            <w:tcW w:type="dxa" w:w="1168"/>
            <w:vAlign w:val="top"/>
          </w:tcPr>
          <w:p>
            <w:r>
              <w:rPr>
                <w:sz w:val="14"/>
              </w:rPr>
              <w:t>ROI about 60%; payback about 7.3 months; breakeven about 98 story points annually; cost per unit reported as lower with Copilot.</w:t>
            </w:r>
          </w:p>
        </w:tc>
        <w:tc>
          <w:tcPr>
            <w:tcW w:type="dxa" w:w="1168"/>
            <w:vAlign w:val="top"/>
          </w:tcPr>
          <w:p>
            <w:r>
              <w:rPr>
                <w:sz w:val="14"/>
              </w:rPr>
              <w:t>Positive conditional economic effect</w:t>
            </w:r>
          </w:p>
        </w:tc>
        <w:tc>
          <w:tcPr>
            <w:tcW w:type="dxa" w:w="1168"/>
            <w:vAlign w:val="top"/>
          </w:tcPr>
          <w:p>
            <w:r>
              <w:rPr>
                <w:sz w:val="14"/>
              </w:rPr>
              <w:t>Results / financial model; pages to verify in PDF</w:t>
            </w:r>
          </w:p>
        </w:tc>
        <w:tc>
          <w:tcPr>
            <w:tcW w:type="dxa" w:w="1168"/>
            <w:vAlign w:val="top"/>
          </w:tcPr>
          <w:p>
            <w:r>
              <w:rPr>
                <w:sz w:val="14"/>
              </w:rPr>
              <w:t>ROI estimate / TCO analysis / tool adoption cost</w:t>
            </w:r>
          </w:p>
        </w:tc>
      </w:tr>
      <w:tr>
        <w:tc>
          <w:tcPr>
            <w:tcW w:type="dxa" w:w="1168"/>
            <w:vAlign w:val="top"/>
          </w:tcPr>
          <w:p>
            <w:r>
              <w:rPr>
                <w:sz w:val="14"/>
              </w:rPr>
              <w:t>li_exploring_2025</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OSS developers exposed to advanced coding assistants increased observable development activity, suggesting labour-time and throughput effects that can be interpreted as economic proxies.</w:t>
            </w:r>
          </w:p>
        </w:tc>
        <w:tc>
          <w:tcPr>
            <w:tcW w:type="dxa" w:w="1168"/>
            <w:vAlign w:val="top"/>
          </w:tcPr>
          <w:p>
            <w:r>
              <w:rPr>
                <w:sz w:val="14"/>
              </w:rPr>
              <w:t>Commit frequency about +12%; active repositories about +6%; casual developers’ work hours about +48%.</w:t>
            </w:r>
          </w:p>
        </w:tc>
        <w:tc>
          <w:tcPr>
            <w:tcW w:type="dxa" w:w="1168"/>
            <w:vAlign w:val="top"/>
          </w:tcPr>
          <w:p>
            <w:r>
              <w:rPr>
                <w:sz w:val="14"/>
              </w:rPr>
              <w:t>Mixed: higher activity with possible hidden effort increase</w:t>
            </w:r>
          </w:p>
        </w:tc>
        <w:tc>
          <w:tcPr>
            <w:tcW w:type="dxa" w:w="1168"/>
            <w:vAlign w:val="top"/>
          </w:tcPr>
          <w:p>
            <w:r>
              <w:rPr>
                <w:sz w:val="14"/>
              </w:rPr>
              <w:t>Results; pages to verify in PDF</w:t>
            </w:r>
          </w:p>
        </w:tc>
        <w:tc>
          <w:tcPr>
            <w:tcW w:type="dxa" w:w="1168"/>
            <w:vAlign w:val="top"/>
          </w:tcPr>
          <w:p>
            <w:r>
              <w:rPr>
                <w:sz w:val="14"/>
              </w:rPr>
              <w:t>Productivity gain as economic proxy / hidden cost</w:t>
            </w:r>
          </w:p>
        </w:tc>
      </w:tr>
      <w:tr>
        <w:tc>
          <w:tcPr>
            <w:tcW w:type="dxa" w:w="1168"/>
            <w:vAlign w:val="top"/>
          </w:tcPr>
          <w:p>
            <w:r>
              <w:rPr>
                <w:sz w:val="14"/>
              </w:rPr>
              <w:t>karanjai_who_2023</w:t>
            </w:r>
          </w:p>
        </w:tc>
        <w:tc>
          <w:tcPr>
            <w:tcW w:type="dxa" w:w="1168"/>
            <w:vAlign w:val="top"/>
          </w:tcPr>
          <w:p>
            <w:r>
              <w:rPr>
                <w:sz w:val="14"/>
              </w:rPr>
              <w:t>NB1</w:t>
            </w:r>
          </w:p>
        </w:tc>
        <w:tc>
          <w:tcPr>
            <w:tcW w:type="dxa" w:w="1168"/>
            <w:vAlign w:val="top"/>
          </w:tcPr>
          <w:p>
            <w:r>
              <w:rPr>
                <w:sz w:val="14"/>
              </w:rPr>
              <w:t>A1</w:t>
            </w:r>
          </w:p>
        </w:tc>
        <w:tc>
          <w:tcPr>
            <w:tcW w:type="dxa" w:w="1168"/>
            <w:vAlign w:val="top"/>
          </w:tcPr>
          <w:p>
            <w:r>
              <w:rPr>
                <w:sz w:val="14"/>
              </w:rPr>
              <w:t>Supporting</w:t>
            </w:r>
          </w:p>
        </w:tc>
        <w:tc>
          <w:tcPr>
            <w:tcW w:type="dxa" w:w="1168"/>
            <w:vAlign w:val="top"/>
          </w:tcPr>
          <w:p>
            <w:r>
              <w:rPr>
                <w:sz w:val="14"/>
              </w:rPr>
              <w:t>Smart-contract generation experiments show that apparent productivity must be discounted by validation and security work because generated contracts can compile while still containing correctness or security defects.</w:t>
            </w:r>
          </w:p>
        </w:tc>
        <w:tc>
          <w:tcPr>
            <w:tcW w:type="dxa" w:w="1168"/>
            <w:vAlign w:val="top"/>
          </w:tcPr>
          <w:p>
            <w:r>
              <w:rPr>
                <w:sz w:val="14"/>
              </w:rPr>
              <w:t>Validity, correctness, security, and maintainability assessed with tests and static analysis; no direct cost metric.</w:t>
            </w:r>
          </w:p>
        </w:tc>
        <w:tc>
          <w:tcPr>
            <w:tcW w:type="dxa" w:w="1168"/>
            <w:vAlign w:val="top"/>
          </w:tcPr>
          <w:p>
            <w:r>
              <w:rPr>
                <w:sz w:val="14"/>
              </w:rPr>
              <w:t>Negative / cautionary</w:t>
            </w:r>
          </w:p>
        </w:tc>
        <w:tc>
          <w:tcPr>
            <w:tcW w:type="dxa" w:w="1168"/>
            <w:vAlign w:val="top"/>
          </w:tcPr>
          <w:p>
            <w:r>
              <w:rPr>
                <w:sz w:val="14"/>
              </w:rPr>
              <w:t>Evaluation / Results; pages to verify in PDF</w:t>
            </w:r>
          </w:p>
        </w:tc>
        <w:tc>
          <w:tcPr>
            <w:tcW w:type="dxa" w:w="1168"/>
            <w:vAlign w:val="top"/>
          </w:tcPr>
          <w:p>
            <w:r>
              <w:rPr>
                <w:sz w:val="14"/>
              </w:rPr>
              <w:t>Supervision overhead / validation cost</w:t>
            </w:r>
          </w:p>
        </w:tc>
      </w:tr>
      <w:tr>
        <w:tc>
          <w:tcPr>
            <w:tcW w:type="dxa" w:w="1168"/>
            <w:vAlign w:val="top"/>
          </w:tcPr>
          <w:p>
            <w:r>
              <w:rPr>
                <w:sz w:val="14"/>
              </w:rPr>
              <w:t>nam_prompting_2025</w:t>
            </w:r>
          </w:p>
        </w:tc>
        <w:tc>
          <w:tcPr>
            <w:tcW w:type="dxa" w:w="1168"/>
            <w:vAlign w:val="top"/>
          </w:tcPr>
          <w:p>
            <w:r>
              <w:rPr>
                <w:sz w:val="14"/>
              </w:rPr>
              <w:t>NB2</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Prompting and editing evidence indicates that AI-generated code still requires human correction, making edit correctness and review labour central to any economic interpretation of coding assistants.</w:t>
            </w:r>
          </w:p>
        </w:tc>
        <w:tc>
          <w:tcPr>
            <w:tcW w:type="dxa" w:w="1168"/>
            <w:vAlign w:val="top"/>
          </w:tcPr>
          <w:p>
            <w:r>
              <w:rPr>
                <w:sz w:val="14"/>
              </w:rPr>
              <w:t>27% edit correctness reported in prior NB2 synthesis; direct economic value not reported.</w:t>
            </w:r>
          </w:p>
        </w:tc>
        <w:tc>
          <w:tcPr>
            <w:tcW w:type="dxa" w:w="1168"/>
            <w:vAlign w:val="top"/>
          </w:tcPr>
          <w:p>
            <w:r>
              <w:rPr>
                <w:sz w:val="14"/>
              </w:rPr>
              <w:t>Mixed</w:t>
            </w:r>
          </w:p>
        </w:tc>
        <w:tc>
          <w:tcPr>
            <w:tcW w:type="dxa" w:w="1168"/>
            <w:vAlign w:val="top"/>
          </w:tcPr>
          <w:p>
            <w:r>
              <w:rPr>
                <w:sz w:val="14"/>
              </w:rPr>
              <w:t>Results / Evaluation; pages to verify in PDF</w:t>
            </w:r>
          </w:p>
        </w:tc>
        <w:tc>
          <w:tcPr>
            <w:tcW w:type="dxa" w:w="1168"/>
            <w:vAlign w:val="top"/>
          </w:tcPr>
          <w:p>
            <w:r>
              <w:rPr>
                <w:sz w:val="14"/>
              </w:rPr>
              <w:t>Supervision overhead / hidden cost</w:t>
            </w:r>
          </w:p>
        </w:tc>
      </w:tr>
      <w:tr>
        <w:tc>
          <w:tcPr>
            <w:tcW w:type="dxa" w:w="1168"/>
            <w:vAlign w:val="top"/>
          </w:tcPr>
          <w:p>
            <w:r>
              <w:rPr>
                <w:sz w:val="14"/>
              </w:rPr>
              <w:t>fakhoury_llm_2024</w:t>
            </w:r>
          </w:p>
        </w:tc>
        <w:tc>
          <w:tcPr>
            <w:tcW w:type="dxa" w:w="1168"/>
            <w:vAlign w:val="top"/>
          </w:tcPr>
          <w:p>
            <w:r>
              <w:rPr>
                <w:sz w:val="14"/>
              </w:rPr>
              <w:t>NB3</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LLM code-generation performance varies by task and setting; benchmark success rates can support productivity claims only when paired with downstream validation effort.</w:t>
            </w:r>
          </w:p>
        </w:tc>
        <w:tc>
          <w:tcPr>
            <w:tcW w:type="dxa" w:w="1168"/>
            <w:vAlign w:val="top"/>
          </w:tcPr>
          <w:p>
            <w:r>
              <w:rPr>
                <w:sz w:val="14"/>
              </w:rPr>
              <w:t>Pass@1 around 38.43% reported in prior HAI anchor audit; direct cost not reported.</w:t>
            </w:r>
          </w:p>
        </w:tc>
        <w:tc>
          <w:tcPr>
            <w:tcW w:type="dxa" w:w="1168"/>
            <w:vAlign w:val="top"/>
          </w:tcPr>
          <w:p>
            <w:r>
              <w:rPr>
                <w:sz w:val="14"/>
              </w:rPr>
              <w:t>Mixed</w:t>
            </w:r>
          </w:p>
        </w:tc>
        <w:tc>
          <w:tcPr>
            <w:tcW w:type="dxa" w:w="1168"/>
            <w:vAlign w:val="top"/>
          </w:tcPr>
          <w:p>
            <w:r>
              <w:rPr>
                <w:sz w:val="14"/>
              </w:rPr>
              <w:t>Evaluation; pages to verify in PDF</w:t>
            </w:r>
          </w:p>
        </w:tc>
        <w:tc>
          <w:tcPr>
            <w:tcW w:type="dxa" w:w="1168"/>
            <w:vAlign w:val="top"/>
          </w:tcPr>
          <w:p>
            <w:r>
              <w:rPr>
                <w:sz w:val="14"/>
              </w:rPr>
              <w:t>Productivity gain as economic proxy / validation cost</w:t>
            </w:r>
          </w:p>
        </w:tc>
      </w:tr>
      <w:tr>
        <w:tc>
          <w:tcPr>
            <w:tcW w:type="dxa" w:w="1168"/>
            <w:vAlign w:val="top"/>
          </w:tcPr>
          <w:p>
            <w:r>
              <w:rPr>
                <w:sz w:val="14"/>
              </w:rPr>
              <w:t>hao_empirical_2024</w:t>
            </w:r>
          </w:p>
        </w:tc>
        <w:tc>
          <w:tcPr>
            <w:tcW w:type="dxa" w:w="1168"/>
            <w:vAlign w:val="top"/>
          </w:tcPr>
          <w:p>
            <w:r>
              <w:rPr>
                <w:sz w:val="14"/>
              </w:rPr>
              <w:t>NB3</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Shared AI-assisted development conversations around issues and pull requests indicate that collaboration overhead, coordination, and traceability become part of adoption cost.</w:t>
            </w:r>
          </w:p>
        </w:tc>
        <w:tc>
          <w:tcPr>
            <w:tcW w:type="dxa" w:w="1168"/>
            <w:vAlign w:val="top"/>
          </w:tcPr>
          <w:p>
            <w:r>
              <w:rPr>
                <w:sz w:val="14"/>
              </w:rPr>
              <w:t>Qualitative / repository-linked evidence; no formal cost metric.</w:t>
            </w:r>
          </w:p>
        </w:tc>
        <w:tc>
          <w:tcPr>
            <w:tcW w:type="dxa" w:w="1168"/>
            <w:vAlign w:val="top"/>
          </w:tcPr>
          <w:p>
            <w:r>
              <w:rPr>
                <w:sz w:val="14"/>
              </w:rPr>
              <w:t>Mixed</w:t>
            </w:r>
          </w:p>
        </w:tc>
        <w:tc>
          <w:tcPr>
            <w:tcW w:type="dxa" w:w="1168"/>
            <w:vAlign w:val="top"/>
          </w:tcPr>
          <w:p>
            <w:r>
              <w:rPr>
                <w:sz w:val="14"/>
              </w:rPr>
              <w:t>Findings / Discussion; pages to verify in PDF</w:t>
            </w:r>
          </w:p>
        </w:tc>
        <w:tc>
          <w:tcPr>
            <w:tcW w:type="dxa" w:w="1168"/>
            <w:vAlign w:val="top"/>
          </w:tcPr>
          <w:p>
            <w:r>
              <w:rPr>
                <w:sz w:val="14"/>
              </w:rPr>
              <w:t>Integration overhead / supervision overhead</w:t>
            </w:r>
          </w:p>
        </w:tc>
      </w:tr>
      <w:tr>
        <w:tc>
          <w:tcPr>
            <w:tcW w:type="dxa" w:w="1168"/>
            <w:vAlign w:val="top"/>
          </w:tcPr>
          <w:p>
            <w:r>
              <w:rPr>
                <w:sz w:val="14"/>
              </w:rPr>
              <w:t>he_speed_2026</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Cursor-style AI assistance may increase short-term velocity while introducing longer-term complexity, so economic benefit depends on whether speed gains exceed future maintenance costs.</w:t>
            </w:r>
          </w:p>
        </w:tc>
        <w:tc>
          <w:tcPr>
            <w:tcW w:type="dxa" w:w="1168"/>
            <w:vAlign w:val="top"/>
          </w:tcPr>
          <w:p>
            <w:r>
              <w:rPr>
                <w:sz w:val="14"/>
              </w:rPr>
              <w:t>Velocity and complexity trade-off; exact page-level anchor requires PDF verification.</w:t>
            </w:r>
          </w:p>
        </w:tc>
        <w:tc>
          <w:tcPr>
            <w:tcW w:type="dxa" w:w="1168"/>
            <w:vAlign w:val="top"/>
          </w:tcPr>
          <w:p>
            <w:r>
              <w:rPr>
                <w:sz w:val="14"/>
              </w:rPr>
              <w:t>Mixed</w:t>
            </w:r>
          </w:p>
        </w:tc>
        <w:tc>
          <w:tcPr>
            <w:tcW w:type="dxa" w:w="1168"/>
            <w:vAlign w:val="top"/>
          </w:tcPr>
          <w:p>
            <w:r>
              <w:rPr>
                <w:sz w:val="14"/>
              </w:rPr>
              <w:t>Results / Discussion; pages to verify in PDF</w:t>
            </w:r>
          </w:p>
        </w:tc>
        <w:tc>
          <w:tcPr>
            <w:tcW w:type="dxa" w:w="1168"/>
            <w:vAlign w:val="top"/>
          </w:tcPr>
          <w:p>
            <w:r>
              <w:rPr>
                <w:sz w:val="14"/>
              </w:rPr>
              <w:t>Productivity gain as proxy / hidden maintenance cost</w:t>
            </w:r>
          </w:p>
        </w:tc>
      </w:tr>
      <w:tr>
        <w:tc>
          <w:tcPr>
            <w:tcW w:type="dxa" w:w="1168"/>
            <w:vAlign w:val="top"/>
          </w:tcPr>
          <w:p>
            <w:r>
              <w:rPr>
                <w:sz w:val="14"/>
              </w:rPr>
              <w:t>li_multi_dimensional_2026</w:t>
            </w:r>
          </w:p>
        </w:tc>
        <w:tc>
          <w:tcPr>
            <w:tcW w:type="dxa" w:w="1168"/>
            <w:vAlign w:val="top"/>
          </w:tcPr>
          <w:p>
            <w:r>
              <w:rPr>
                <w:sz w:val="14"/>
              </w:rPr>
              <w:t>NB5</w:t>
            </w:r>
          </w:p>
        </w:tc>
        <w:tc>
          <w:tcPr>
            <w:tcW w:type="dxa" w:w="1168"/>
            <w:vAlign w:val="top"/>
          </w:tcPr>
          <w:p>
            <w:r>
              <w:rPr>
                <w:sz w:val="14"/>
              </w:rPr>
              <w:t>A2</w:t>
            </w:r>
          </w:p>
        </w:tc>
        <w:tc>
          <w:tcPr>
            <w:tcW w:type="dxa" w:w="1168"/>
            <w:vAlign w:val="top"/>
          </w:tcPr>
          <w:p>
            <w:r>
              <w:rPr>
                <w:sz w:val="14"/>
              </w:rPr>
              <w:t>Supporting</w:t>
            </w:r>
          </w:p>
        </w:tc>
        <w:tc>
          <w:tcPr>
            <w:tcW w:type="dxa" w:w="1168"/>
            <w:vAlign w:val="top"/>
          </w:tcPr>
          <w:p>
            <w:r>
              <w:rPr>
                <w:sz w:val="14"/>
              </w:rPr>
              <w:t>Multi-dimensional quality evaluation suggests that generated-code usefulness depends on quality dimensions as well as output volume; low-quality output can shift cost into review and rework.</w:t>
            </w:r>
          </w:p>
        </w:tc>
        <w:tc>
          <w:tcPr>
            <w:tcW w:type="dxa" w:w="1168"/>
            <w:vAlign w:val="top"/>
          </w:tcPr>
          <w:p>
            <w:r>
              <w:rPr>
                <w:sz w:val="14"/>
              </w:rPr>
              <w:t>Multiple quality metrics; no direct economic metric.</w:t>
            </w:r>
          </w:p>
        </w:tc>
        <w:tc>
          <w:tcPr>
            <w:tcW w:type="dxa" w:w="1168"/>
            <w:vAlign w:val="top"/>
          </w:tcPr>
          <w:p>
            <w:r>
              <w:rPr>
                <w:sz w:val="14"/>
              </w:rPr>
              <w:t>Mixed / cautionary</w:t>
            </w:r>
          </w:p>
        </w:tc>
        <w:tc>
          <w:tcPr>
            <w:tcW w:type="dxa" w:w="1168"/>
            <w:vAlign w:val="top"/>
          </w:tcPr>
          <w:p>
            <w:r>
              <w:rPr>
                <w:sz w:val="14"/>
              </w:rPr>
              <w:t>Evaluation / Results; pages to verify in PDF</w:t>
            </w:r>
          </w:p>
        </w:tc>
        <w:tc>
          <w:tcPr>
            <w:tcW w:type="dxa" w:w="1168"/>
            <w:vAlign w:val="top"/>
          </w:tcPr>
          <w:p>
            <w:r>
              <w:rPr>
                <w:sz w:val="14"/>
              </w:rPr>
              <w:t>Validation cost / rework cost</w:t>
            </w:r>
          </w:p>
        </w:tc>
      </w:tr>
      <w:tr>
        <w:tc>
          <w:tcPr>
            <w:tcW w:type="dxa" w:w="1168"/>
            <w:vAlign w:val="top"/>
          </w:tcPr>
          <w:p>
            <w:r>
              <w:rPr>
                <w:sz w:val="14"/>
              </w:rPr>
              <w:t>awan_generative_2026</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Supporting</w:t>
            </w:r>
          </w:p>
        </w:tc>
        <w:tc>
          <w:tcPr>
            <w:tcW w:type="dxa" w:w="1168"/>
            <w:vAlign w:val="top"/>
          </w:tcPr>
          <w:p>
            <w:r>
              <w:rPr>
                <w:sz w:val="14"/>
              </w:rPr>
              <w:t>SME cybersecurity framing suggests potential cost avoidance, but evidence should be used cautiously because economic outcomes are indirect and context-specific.</w:t>
            </w:r>
          </w:p>
        </w:tc>
        <w:tc>
          <w:tcPr>
            <w:tcW w:type="dxa" w:w="1168"/>
            <w:vAlign w:val="top"/>
          </w:tcPr>
          <w:p>
            <w:r>
              <w:rPr>
                <w:sz w:val="14"/>
              </w:rPr>
              <w:t>Framework-oriented; no robust direct ROI metric available from verified material.</w:t>
            </w:r>
          </w:p>
        </w:tc>
        <w:tc>
          <w:tcPr>
            <w:tcW w:type="dxa" w:w="1168"/>
            <w:vAlign w:val="top"/>
          </w:tcPr>
          <w:p>
            <w:r>
              <w:rPr>
                <w:sz w:val="14"/>
              </w:rPr>
              <w:t>Potential positive, weakly supported</w:t>
            </w:r>
          </w:p>
        </w:tc>
        <w:tc>
          <w:tcPr>
            <w:tcW w:type="dxa" w:w="1168"/>
            <w:vAlign w:val="top"/>
          </w:tcPr>
          <w:p>
            <w:r>
              <w:rPr>
                <w:sz w:val="14"/>
              </w:rPr>
              <w:t>Discussion / framework; pages to verify in PDF</w:t>
            </w:r>
          </w:p>
        </w:tc>
        <w:tc>
          <w:tcPr>
            <w:tcW w:type="dxa" w:w="1168"/>
            <w:vAlign w:val="top"/>
          </w:tcPr>
          <w:p>
            <w:r>
              <w:rPr>
                <w:sz w:val="14"/>
              </w:rPr>
              <w:t>Cost reduction / risk-cost avoidance</w:t>
            </w:r>
          </w:p>
        </w:tc>
      </w:tr>
      <w:tr>
        <w:tc>
          <w:tcPr>
            <w:tcW w:type="dxa" w:w="1168"/>
            <w:vAlign w:val="top"/>
          </w:tcPr>
          <w:p>
            <w:r>
              <w:rPr>
                <w:sz w:val="14"/>
              </w:rPr>
              <w:t>wong_natural_2023</w:t>
            </w:r>
          </w:p>
        </w:tc>
        <w:tc>
          <w:tcPr>
            <w:tcW w:type="dxa" w:w="1168"/>
            <w:vAlign w:val="top"/>
          </w:tcPr>
          <w:p>
            <w:r>
              <w:rPr>
                <w:sz w:val="14"/>
              </w:rPr>
              <w:t>NB5</w:t>
            </w:r>
          </w:p>
        </w:tc>
        <w:tc>
          <w:tcPr>
            <w:tcW w:type="dxa" w:w="1168"/>
            <w:vAlign w:val="top"/>
          </w:tcPr>
          <w:p>
            <w:r>
              <w:rPr>
                <w:sz w:val="14"/>
              </w:rPr>
              <w:t>B</w:t>
            </w:r>
          </w:p>
        </w:tc>
        <w:tc>
          <w:tcPr>
            <w:tcW w:type="dxa" w:w="1168"/>
            <w:vAlign w:val="top"/>
          </w:tcPr>
          <w:p>
            <w:r>
              <w:rPr>
                <w:sz w:val="14"/>
              </w:rPr>
              <w:t>PERIPHERAL</w:t>
            </w:r>
          </w:p>
        </w:tc>
        <w:tc>
          <w:tcPr>
            <w:tcW w:type="dxa" w:w="1168"/>
            <w:vAlign w:val="top"/>
          </w:tcPr>
          <w:p>
            <w:r>
              <w:rPr>
                <w:sz w:val="14"/>
              </w:rPr>
              <w:t>Review evidence is useful as background on AI-assisted programming capabilities but must not anchor economic claims because it does not itself provide primary economic measurement.</w:t>
            </w:r>
          </w:p>
        </w:tc>
        <w:tc>
          <w:tcPr>
            <w:tcW w:type="dxa" w:w="1168"/>
            <w:vAlign w:val="top"/>
          </w:tcPr>
          <w:p>
            <w:r>
              <w:rPr>
                <w:sz w:val="14"/>
              </w:rPr>
              <w:t>No primary economic metric.</w:t>
            </w:r>
          </w:p>
        </w:tc>
        <w:tc>
          <w:tcPr>
            <w:tcW w:type="dxa" w:w="1168"/>
            <w:vAlign w:val="top"/>
          </w:tcPr>
          <w:p>
            <w:r>
              <w:rPr>
                <w:sz w:val="14"/>
              </w:rPr>
              <w:t>Context only</w:t>
            </w:r>
          </w:p>
        </w:tc>
        <w:tc>
          <w:tcPr>
            <w:tcW w:type="dxa" w:w="1168"/>
            <w:vAlign w:val="top"/>
          </w:tcPr>
          <w:p>
            <w:r>
              <w:rPr>
                <w:sz w:val="14"/>
              </w:rPr>
              <w:t>Review sections; pages to verify in PDF</w:t>
            </w:r>
          </w:p>
        </w:tc>
        <w:tc>
          <w:tcPr>
            <w:tcW w:type="dxa" w:w="1168"/>
            <w:vAlign w:val="top"/>
          </w:tcPr>
          <w:p>
            <w:r>
              <w:rPr>
                <w:sz w:val="14"/>
              </w:rPr>
              <w:t>Peripheral context only</w:t>
            </w:r>
          </w:p>
        </w:tc>
      </w:tr>
      <w:tr>
        <w:tc>
          <w:tcPr>
            <w:tcW w:type="dxa" w:w="1168"/>
            <w:vAlign w:val="top"/>
          </w:tcPr>
          <w:p>
            <w:r>
              <w:rPr>
                <w:sz w:val="14"/>
              </w:rPr>
              <w:t>ahmad_towards_2023</w:t>
            </w:r>
          </w:p>
        </w:tc>
        <w:tc>
          <w:tcPr>
            <w:tcW w:type="dxa" w:w="1168"/>
            <w:vAlign w:val="top"/>
          </w:tcPr>
          <w:p>
            <w:r>
              <w:rPr>
                <w:sz w:val="14"/>
              </w:rPr>
              <w:t>NB5</w:t>
            </w:r>
          </w:p>
        </w:tc>
        <w:tc>
          <w:tcPr>
            <w:tcW w:type="dxa" w:w="1168"/>
            <w:vAlign w:val="top"/>
          </w:tcPr>
          <w:p>
            <w:r>
              <w:rPr>
                <w:sz w:val="14"/>
              </w:rPr>
              <w:t>REMOVE_CANDIDATE</w:t>
            </w:r>
          </w:p>
        </w:tc>
        <w:tc>
          <w:tcPr>
            <w:tcW w:type="dxa" w:w="1168"/>
            <w:vAlign w:val="top"/>
          </w:tcPr>
          <w:p>
            <w:r>
              <w:rPr>
                <w:sz w:val="14"/>
              </w:rPr>
              <w:t>Excluded</w:t>
            </w:r>
          </w:p>
        </w:tc>
        <w:tc>
          <w:tcPr>
            <w:tcW w:type="dxa" w:w="1168"/>
            <w:vAlign w:val="top"/>
          </w:tcPr>
          <w:p>
            <w:r>
              <w:rPr>
                <w:sz w:val="14"/>
              </w:rPr>
              <w:t>No anchor extracted — REMOVE_CANDIDATE; not cited under any circumstances.</w:t>
            </w:r>
          </w:p>
        </w:tc>
        <w:tc>
          <w:tcPr>
            <w:tcW w:type="dxa" w:w="1168"/>
            <w:vAlign w:val="top"/>
          </w:tcPr>
          <w:p>
            <w:r>
              <w:rPr>
                <w:sz w:val="14"/>
              </w:rPr>
              <w:t>N/A</w:t>
            </w:r>
          </w:p>
        </w:tc>
        <w:tc>
          <w:tcPr>
            <w:tcW w:type="dxa" w:w="1168"/>
            <w:vAlign w:val="top"/>
          </w:tcPr>
          <w:p>
            <w:r>
              <w:rPr>
                <w:sz w:val="14"/>
              </w:rPr>
              <w:t>N/A</w:t>
            </w:r>
          </w:p>
        </w:tc>
        <w:tc>
          <w:tcPr>
            <w:tcW w:type="dxa" w:w="1168"/>
            <w:vAlign w:val="top"/>
          </w:tcPr>
          <w:p>
            <w:r>
              <w:rPr>
                <w:sz w:val="14"/>
              </w:rPr>
              <w:t>N/A</w:t>
            </w:r>
          </w:p>
        </w:tc>
        <w:tc>
          <w:tcPr>
            <w:tcW w:type="dxa" w:w="1168"/>
            <w:vAlign w:val="top"/>
          </w:tcPr>
          <w:p>
            <w:r>
              <w:rPr>
                <w:sz w:val="14"/>
              </w:rPr>
              <w:t>Excluded from economic synthesis</w:t>
            </w:r>
          </w:p>
        </w:tc>
      </w:tr>
    </w:tbl>
    <w:p>
      <w:pPr>
        <w:pStyle w:val="Heading1"/>
      </w:pPr>
      <w:r>
        <w:t>2. Analytical narrative</w:t>
      </w:r>
    </w:p>
    <w:p>
      <w:r>
        <w:t>Direct economic evidence on AI-assisted programming remains limited. The Economic sheet contains one NB5 primary paper that directly models total cost of ownership, but that paper is tier B and marked PERIPHERAL; therefore it can contextualise the dimension but should not anchor strong manuscript claims [1]. The stronger evidential base comes from cross-corpus and NB5-supporting studies that measure productivity, quality, validation, collaboration, or resource use. In this artefact, those findings are treated as economic proxies: they indicate possible cost consequences, but they do not by themselves establish robust return on investment, total cost of ownership, or firm-level profitability.</w:t>
      </w:r>
    </w:p>
    <w:p>
      <w:r>
        <w:t>Productivity gains are the clearest economic proxy. In the open-source behavioural study by Li, Costello and Kim, exposure to advanced coding assistants is associated with higher commit frequency and more active repositories, including an approximate 12% increase in commits and 6% increase in active repositories [2]. Interpreted economically, this suggests that AI assistance may increase throughput per developer or reduce participation frictions. However, the same evidence also complicates a simple labour-saving interpretation: casual developers increase work hours substantially, so the observed output gains may partly reflect greater time input rather than pure efficiency. This distinction matters for the manuscript because higher activity is not equivalent to lower cost unless the cost of additional time, coordination, and downstream rework is also included.</w:t>
      </w:r>
    </w:p>
    <w:p>
      <w:r>
        <w:t>The strongest caution against treating velocity as savings comes from studies where generated code requires substantial validation. Karanjai and colleagues show that smart-contract code generated by large language models must be judged not only by compilability but also by correctness, security, and maintainability [3]. Economically, this moves the analysis from production cost to assurance cost. A contract that is produced quickly but introduces vulnerabilities can create delayed expenditure through testing, auditing, remediation, and risk exposure. Similarly, evidence from prompting and editing work indicates that human correction remains a central part of AI-assisted programming, with edit correctness reported as limited in the prior NB2 synthesis [4]. In economic terms, the assistant does not simply substitute for developer labour; it can redistribute labour towards prompt construction, review, debugging, and integration.</w:t>
      </w:r>
    </w:p>
    <w:p>
      <w:r>
        <w:t>Benchmark-oriented studies provide another partial productivity signal. Fakhoury’s LLM code-generation evidence, previously anchored in the HAI work, reports measurable pass-rate performance, but this is still a bounded task-performance metric rather than a cost metric [5]. A pass@1 result can imply reduced search or drafting time only when the generated answer is usable in the target context. Where benchmark success does not translate cleanly into project integration, the economic value is moderated by adaptation and verification work. This is why economic claims should be stated as conditional: coding assistants may reduce the marginal cost of producing candidate solutions, but they do not eliminate the marginal cost of deciding whether those solutions are correct, secure, maintainable, and aligned with project conventions.</w:t>
      </w:r>
    </w:p>
    <w:p>
      <w:r>
        <w:t>Hidden costs are also social and organisational. Hao’s work on shared AI-assisted conversations around issues and pull requests shows that AI use becomes embedded in collaborative development practices [6]. This can improve traceability and shared understanding, but it also creates coordination work: teams must decide how prompts, generated suggestions, model outputs, and review rationales are recorded and trusted. These costs are rarely visible in simple time-on-task experiments. They become more important when adoption moves from individual experimentation to team-level software delivery, where governance, accountability, documentation, and review norms shape the real cost of the tool.</w:t>
      </w:r>
    </w:p>
    <w:p>
      <w:r>
        <w:t>The clearest direct ROI evidence is the Rodríguez TCO case, which reports a positive ROI, short payback period, and lower cost per unit for GitHub Copilot in a Costa Rican FinTech scenario [1]. This result is valuable because it uses economic vocabulary directly: TCO, ROI, payback, breakeven, and cost per unit. Nevertheless, the paper’s tier B and PERIPHERAL status means it should be used cautiously. Its contribution is best framed as an illustrative case showing what an economic analysis can look like, not as general proof that Copilot or similar assistants are cost-effective across organisations. The result depends on assumptions about productivity uplift, licensing, training, supervision, and work volume.</w:t>
      </w:r>
    </w:p>
    <w:p>
      <w:r>
        <w:t>Context-dependence is therefore the central economic finding. AI-assisted programming can look economically attractive when tasks are modular, acceptance criteria are clear, code review capacity is strong, and generated output reduces repetitive drafting. It becomes less attractive when tasks are security-critical, poorly specified, highly integrated with legacy systems, or require extensive domain judgement. The evidence from velocity-complexity trade-offs in Cursor-style assistance further reinforces this point: short-term speed can coexist with long-term complexity, which would shift cost from development to maintenance [7]. Multi-dimensional quality evaluation likewise implies that output volume cannot be separated from review and rework cost [8].</w:t>
      </w:r>
    </w:p>
    <w:p>
      <w:r>
        <w:t>Overall, the Economic Impact dimension should be presented as emergent rather than mature. The corpus supports a defensible claim that AI-assisted programming has plausible economic effects through productivity, quality, validation, and coordination mechanisms. It does not yet support strong general claims about ROI, TCO, or cost reduction. The most publishable interpretation is that economic value is conditional on adoption depth, task type, developer expertise, and the organisation’s ability to absorb hidden costs of supervision, validation, and integration.</w:t>
      </w:r>
    </w:p>
    <w:p>
      <w:pPr>
        <w:pStyle w:val="Heading1"/>
      </w:pPr>
      <w:r>
        <w:t>3. Dimension summary</w:t>
      </w:r>
    </w:p>
    <w:p>
      <w:r>
        <w:t>Economic evidence is the thinnest of the five NB5 small dimensions. Only one in-scope paper directly models TCO and ROI, and it is a tier B PERIPHERAL case rather than a strong anchor. The wider corpus provides more reliable but indirect evidence through productivity gains, validation effort, security risk, collaboration overhead, and quality trade-offs. Consequently, manuscript claims should avoid broad assertions that AI coding tools reduce cost. The defensible claim is narrower: economic impact is plausible, context-dependent, and mediated by supervision, rework, adoption, and maintenance costs.</w:t>
      </w:r>
    </w:p>
    <w:p>
      <w:pPr>
        <w:pStyle w:val="Heading1"/>
      </w:pPr>
      <w:r>
        <w:t>4. References</w:t>
      </w:r>
    </w:p>
    <w:p>
      <w:r>
        <w:t>[1] Comparative Evaluation of Total Cost of Ownership (TCO) in Software Development for a FinTech Company with Operations in Costa Rica: Junior Human Capital vs. GitHub Copilot. Jonathan Anchía Rodríguez, 2025. Bibkey: rodriguez_comparative_2025.</w:t>
      </w:r>
    </w:p>
    <w:p>
      <w:r>
        <w:t>[2] Exploring Altered Open Source Software Development Patterns in a Time of Generative AI. Xinyu Li; Francis Joseph Costello; Keongtae Kim, 2025. Bibkey: li_exploring_2025.</w:t>
      </w:r>
    </w:p>
    <w:p>
      <w:r>
        <w:t>[3] Who is Smarter? An Empirical Study of AI-Based Smart Contract Creation. Rabimba Karanjai; Edward Li; Lei Xu; Weidong Shi, 2023. Bibkey: karanjai_who_2023.</w:t>
      </w:r>
    </w:p>
    <w:p>
      <w:r>
        <w:t>[4] Prompting Is All You Need: Automated Android Bug Replay with Large Language Models. Daye Nam; Andrew Macvean; Vincent J. Hellendoorn; Bogdan Vasilescu; Brad Myers, 2025. Bibkey: nam_prompting_2025.</w:t>
      </w:r>
    </w:p>
    <w:p>
      <w:r>
        <w:t>[5] The LLM Effect: Are Humans Truly Using LLMs, or Are They Being Influenced By Them Instead? Sarah Fakhoury; Venera Arnaoudova; Christoph Treude; Gerardo Schneider, 2024. Bibkey: fakhoury_llm_2024.</w:t>
      </w:r>
    </w:p>
    <w:p>
      <w:r>
        <w:t>[6] An Empirical Study of Developer Discussions on AI-assisted Programming. Yixiao Hao; L. Zhang; Thomas Zimmermann; David Lo; Xin Xia, 2024. Bibkey: hao_empirical_2024.</w:t>
      </w:r>
    </w:p>
    <w:p>
      <w:r>
        <w:t>[7] Speed at the Cost of Quality: How Cursor AI Increases Short-Term Velocity and Long-Term Complexity in Student Projects. Xiao He; et al., 2026. Bibkey: he_speed_2026.</w:t>
      </w:r>
    </w:p>
    <w:p>
      <w:r>
        <w:t>[8] A Multi-Dimensional Quality Evaluation of Code Generated by LLM-Based Tools Across Multiple Programming Tasks. Yichen Li; et al., 2026. Bibkey: li_multi-dimensional_2026.</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