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1.5 — NB5 Small Dimensions: Economic Impact Dimension Analytical Narrative</w:t>
      </w:r>
    </w:p>
    <w:p>
      <w:r>
        <w:t>Scope control: this document was regenerated from scratch using only the 25 closed-scope Economic bibkeys supplied for this pass. ahmad_towards_2023 is retained only as an excluded control row and is not cited. Peripheral papers are labelled context only.</w:t>
      </w:r>
    </w:p>
    <w:p>
      <w:pPr>
        <w:pStyle w:val="Heading1"/>
      </w:pPr>
      <w:r>
        <w:t>1. Evidence matrix</w:t>
      </w:r>
    </w:p>
    <w:tbl>
      <w:tblPr>
        <w:tblStyle w:val="TableGrid"/>
        <w:tblW w:type="auto" w:w="0"/>
        <w:jc w:val="center"/>
        <w:tblLook w:firstColumn="1" w:firstRow="1" w:lastColumn="0" w:lastRow="0" w:noHBand="0" w:noVBand="1" w:val="04A0"/>
      </w:tblPr>
      <w:tblGrid>
        <w:gridCol w:w="1216"/>
        <w:gridCol w:w="1216"/>
        <w:gridCol w:w="1216"/>
        <w:gridCol w:w="1216"/>
        <w:gridCol w:w="1216"/>
        <w:gridCol w:w="1216"/>
        <w:gridCol w:w="1216"/>
        <w:gridCol w:w="1216"/>
        <w:gridCol w:w="1216"/>
      </w:tblGrid>
      <w:tr>
        <w:tc>
          <w:tcPr>
            <w:tcW w:type="dxa" w:w="1216"/>
          </w:tcPr>
          <w:p>
            <w:r>
              <w:rPr>
                <w:sz w:val="12"/>
              </w:rPr>
              <w:t>Bibkey</w:t>
            </w:r>
          </w:p>
        </w:tc>
        <w:tc>
          <w:tcPr>
            <w:tcW w:type="dxa" w:w="1216"/>
          </w:tcPr>
          <w:p>
            <w:r>
              <w:rPr>
                <w:sz w:val="12"/>
              </w:rPr>
              <w:t>Source notebook</w:t>
            </w:r>
          </w:p>
        </w:tc>
        <w:tc>
          <w:tcPr>
            <w:tcW w:type="dxa" w:w="1216"/>
          </w:tcPr>
          <w:p>
            <w:r>
              <w:rPr>
                <w:sz w:val="12"/>
              </w:rPr>
              <w:t>Quality tier</w:t>
            </w:r>
          </w:p>
        </w:tc>
        <w:tc>
          <w:tcPr>
            <w:tcW w:type="dxa" w:w="1216"/>
          </w:tcPr>
          <w:p>
            <w:r>
              <w:rPr>
                <w:sz w:val="12"/>
              </w:rPr>
              <w:t>Segment</w:t>
            </w:r>
          </w:p>
        </w:tc>
        <w:tc>
          <w:tcPr>
            <w:tcW w:type="dxa" w:w="1216"/>
          </w:tcPr>
          <w:p>
            <w:r>
              <w:rPr>
                <w:sz w:val="12"/>
              </w:rPr>
              <w:t>Key finding</w:t>
            </w:r>
          </w:p>
        </w:tc>
        <w:tc>
          <w:tcPr>
            <w:tcW w:type="dxa" w:w="1216"/>
          </w:tcPr>
          <w:p>
            <w:r>
              <w:rPr>
                <w:sz w:val="12"/>
              </w:rPr>
              <w:t>Metric/value</w:t>
            </w:r>
          </w:p>
        </w:tc>
        <w:tc>
          <w:tcPr>
            <w:tcW w:type="dxa" w:w="1216"/>
          </w:tcPr>
          <w:p>
            <w:r>
              <w:rPr>
                <w:sz w:val="12"/>
              </w:rPr>
              <w:t>Directionality</w:t>
            </w:r>
          </w:p>
        </w:tc>
        <w:tc>
          <w:tcPr>
            <w:tcW w:type="dxa" w:w="1216"/>
          </w:tcPr>
          <w:p>
            <w:r>
              <w:rPr>
                <w:sz w:val="12"/>
              </w:rPr>
              <w:t>PDF section + page</w:t>
            </w:r>
          </w:p>
        </w:tc>
        <w:tc>
          <w:tcPr>
            <w:tcW w:type="dxa" w:w="1216"/>
          </w:tcPr>
          <w:p>
            <w:r>
              <w:rPr>
                <w:sz w:val="12"/>
              </w:rPr>
              <w:t>Economic dimension</w:t>
            </w:r>
          </w:p>
        </w:tc>
      </w:tr>
      <w:tr>
        <w:tc>
          <w:tcPr>
            <w:tcW w:type="dxa" w:w="1216"/>
            <w:vAlign w:val="top"/>
          </w:tcPr>
          <w:p>
            <w:r>
              <w:rPr>
                <w:sz w:val="12"/>
              </w:rPr>
              <w:t>rodriguez_comparative_2025</w:t>
            </w:r>
          </w:p>
        </w:tc>
        <w:tc>
          <w:tcPr>
            <w:tcW w:type="dxa" w:w="1216"/>
            <w:vAlign w:val="top"/>
          </w:tcPr>
          <w:p>
            <w:r>
              <w:rPr>
                <w:sz w:val="12"/>
              </w:rPr>
              <w:t>NB5</w:t>
            </w:r>
          </w:p>
        </w:tc>
        <w:tc>
          <w:tcPr>
            <w:tcW w:type="dxa" w:w="1216"/>
            <w:vAlign w:val="top"/>
          </w:tcPr>
          <w:p>
            <w:r>
              <w:rPr>
                <w:sz w:val="12"/>
              </w:rPr>
              <w:t>B</w:t>
            </w:r>
          </w:p>
        </w:tc>
        <w:tc>
          <w:tcPr>
            <w:tcW w:type="dxa" w:w="1216"/>
            <w:vAlign w:val="top"/>
          </w:tcPr>
          <w:p>
            <w:r>
              <w:rPr>
                <w:sz w:val="12"/>
              </w:rPr>
              <w:t>PERIPHERAL</w:t>
            </w:r>
          </w:p>
        </w:tc>
        <w:tc>
          <w:tcPr>
            <w:tcW w:type="dxa" w:w="1216"/>
            <w:vAlign w:val="top"/>
          </w:tcPr>
          <w:p>
            <w:r>
              <w:rPr>
                <w:sz w:val="12"/>
              </w:rPr>
              <w:t>Context only: TCO comparison reports lower cost per production unit with Copilot than junior-only staffing, but the tier and source make it contextual rather than claim-anchoring evidence.</w:t>
            </w:r>
          </w:p>
        </w:tc>
        <w:tc>
          <w:tcPr>
            <w:tcW w:type="dxa" w:w="1216"/>
            <w:vAlign w:val="top"/>
          </w:tcPr>
          <w:p>
            <w:r>
              <w:rPr>
                <w:sz w:val="12"/>
              </w:rPr>
              <w:t>Cost/unit 239 to 205 USD; ROI about 61%; payback about 7.4 months</w:t>
            </w:r>
          </w:p>
        </w:tc>
        <w:tc>
          <w:tcPr>
            <w:tcW w:type="dxa" w:w="1216"/>
            <w:vAlign w:val="top"/>
          </w:tcPr>
          <w:p>
            <w:r>
              <w:rPr>
                <w:sz w:val="12"/>
              </w:rPr>
              <w:t>Positive economic proxy, peripheral</w:t>
            </w:r>
          </w:p>
        </w:tc>
        <w:tc>
          <w:tcPr>
            <w:tcW w:type="dxa" w:w="1216"/>
            <w:vAlign w:val="top"/>
          </w:tcPr>
          <w:p>
            <w:r>
              <w:rPr>
                <w:sz w:val="12"/>
              </w:rPr>
              <w:t>Results / TCO comparison; pages to verify</w:t>
            </w:r>
          </w:p>
        </w:tc>
        <w:tc>
          <w:tcPr>
            <w:tcW w:type="dxa" w:w="1216"/>
            <w:vAlign w:val="top"/>
          </w:tcPr>
          <w:p>
            <w:r>
              <w:rPr>
                <w:sz w:val="12"/>
              </w:rPr>
              <w:t>TCO analysis</w:t>
            </w:r>
          </w:p>
        </w:tc>
      </w:tr>
      <w:tr>
        <w:tc>
          <w:tcPr>
            <w:tcW w:type="dxa" w:w="1216"/>
            <w:vAlign w:val="top"/>
          </w:tcPr>
          <w:p>
            <w:r>
              <w:rPr>
                <w:sz w:val="12"/>
              </w:rPr>
              <w:t>karanjai_who_2023</w:t>
            </w:r>
          </w:p>
        </w:tc>
        <w:tc>
          <w:tcPr>
            <w:tcW w:type="dxa" w:w="1216"/>
            <w:vAlign w:val="top"/>
          </w:tcPr>
          <w:p>
            <w:r>
              <w:rPr>
                <w:sz w:val="12"/>
              </w:rPr>
              <w:t>NB1</w:t>
            </w:r>
          </w:p>
        </w:tc>
        <w:tc>
          <w:tcPr>
            <w:tcW w:type="dxa" w:w="1216"/>
            <w:vAlign w:val="top"/>
          </w:tcPr>
          <w:p>
            <w:r>
              <w:rPr>
                <w:sz w:val="12"/>
              </w:rPr>
              <w:t>A1</w:t>
            </w:r>
          </w:p>
        </w:tc>
        <w:tc>
          <w:tcPr>
            <w:tcW w:type="dxa" w:w="1216"/>
            <w:vAlign w:val="top"/>
          </w:tcPr>
          <w:p>
            <w:r>
              <w:rPr>
                <w:sz w:val="12"/>
              </w:rPr>
              <w:t>CORE</w:t>
            </w:r>
          </w:p>
        </w:tc>
        <w:tc>
          <w:tcPr>
            <w:tcW w:type="dxa" w:w="1216"/>
            <w:vAlign w:val="top"/>
          </w:tcPr>
          <w:p>
            <w:r>
              <w:rPr>
                <w:sz w:val="12"/>
              </w:rPr>
              <w:t>LLM smart-contract generation can produce compilable outputs, but security, correctness and maintainability checks expose defects that convert apparent automation gains into validation cost.</w:t>
            </w:r>
          </w:p>
        </w:tc>
        <w:tc>
          <w:tcPr>
            <w:tcW w:type="dxa" w:w="1216"/>
            <w:vAlign w:val="top"/>
          </w:tcPr>
          <w:p>
            <w:r>
              <w:rPr>
                <w:sz w:val="12"/>
              </w:rPr>
              <w:t>Validity, correctness, security and maintainability checks</w:t>
            </w:r>
          </w:p>
        </w:tc>
        <w:tc>
          <w:tcPr>
            <w:tcW w:type="dxa" w:w="1216"/>
            <w:vAlign w:val="top"/>
          </w:tcPr>
          <w:p>
            <w:r>
              <w:rPr>
                <w:sz w:val="12"/>
              </w:rPr>
              <w:t>Mixed: productivity promise offset by validation overhead</w:t>
            </w:r>
          </w:p>
        </w:tc>
        <w:tc>
          <w:tcPr>
            <w:tcW w:type="dxa" w:w="1216"/>
            <w:vAlign w:val="top"/>
          </w:tcPr>
          <w:p>
            <w:r>
              <w:rPr>
                <w:sz w:val="12"/>
              </w:rPr>
              <w:t>Results / evaluation; pages to verify</w:t>
            </w:r>
          </w:p>
        </w:tc>
        <w:tc>
          <w:tcPr>
            <w:tcW w:type="dxa" w:w="1216"/>
            <w:vAlign w:val="top"/>
          </w:tcPr>
          <w:p>
            <w:r>
              <w:rPr>
                <w:sz w:val="12"/>
              </w:rPr>
              <w:t>Supervision overhead</w:t>
            </w:r>
          </w:p>
        </w:tc>
      </w:tr>
      <w:tr>
        <w:tc>
          <w:tcPr>
            <w:tcW w:type="dxa" w:w="1216"/>
            <w:vAlign w:val="top"/>
          </w:tcPr>
          <w:p>
            <w:r>
              <w:rPr>
                <w:sz w:val="12"/>
              </w:rPr>
              <w:t>jesse_large_2023</w:t>
            </w:r>
          </w:p>
        </w:tc>
        <w:tc>
          <w:tcPr>
            <w:tcW w:type="dxa" w:w="1216"/>
            <w:vAlign w:val="top"/>
          </w:tcPr>
          <w:p>
            <w:r>
              <w:rPr>
                <w:sz w:val="12"/>
              </w:rPr>
              <w:t>NB2</w:t>
            </w:r>
          </w:p>
        </w:tc>
        <w:tc>
          <w:tcPr>
            <w:tcW w:type="dxa" w:w="1216"/>
            <w:vAlign w:val="top"/>
          </w:tcPr>
          <w:p>
            <w:r>
              <w:rPr>
                <w:sz w:val="12"/>
              </w:rPr>
              <w:t>A2</w:t>
            </w:r>
          </w:p>
        </w:tc>
        <w:tc>
          <w:tcPr>
            <w:tcW w:type="dxa" w:w="1216"/>
            <w:vAlign w:val="top"/>
          </w:tcPr>
          <w:p>
            <w:r>
              <w:rPr>
                <w:sz w:val="12"/>
              </w:rPr>
              <w:t>SUPPORTING</w:t>
            </w:r>
          </w:p>
        </w:tc>
        <w:tc>
          <w:tcPr>
            <w:tcW w:type="dxa" w:w="1216"/>
            <w:vAlign w:val="top"/>
          </w:tcPr>
          <w:p>
            <w:r>
              <w:rPr>
                <w:sz w:val="12"/>
              </w:rPr>
              <w:t>For simple bug-fixing tasks, LLM use can increase rather than reduce repair burden because generated changes include a high bug-to-fix ratio unless prompts are constrained.</w:t>
            </w:r>
          </w:p>
        </w:tc>
        <w:tc>
          <w:tcPr>
            <w:tcW w:type="dxa" w:w="1216"/>
            <w:vAlign w:val="top"/>
          </w:tcPr>
          <w:p>
            <w:r>
              <w:rPr>
                <w:sz w:val="12"/>
              </w:rPr>
              <w:t>Up to 2x more bugs than fixes; comments reduce bug/patch ratio</w:t>
            </w:r>
          </w:p>
        </w:tc>
        <w:tc>
          <w:tcPr>
            <w:tcW w:type="dxa" w:w="1216"/>
            <w:vAlign w:val="top"/>
          </w:tcPr>
          <w:p>
            <w:r>
              <w:rPr>
                <w:sz w:val="12"/>
              </w:rPr>
              <w:t>Negative hidden-cost signal</w:t>
            </w:r>
          </w:p>
        </w:tc>
        <w:tc>
          <w:tcPr>
            <w:tcW w:type="dxa" w:w="1216"/>
            <w:vAlign w:val="top"/>
          </w:tcPr>
          <w:p>
            <w:r>
              <w:rPr>
                <w:sz w:val="12"/>
              </w:rPr>
              <w:t>Results / bug-fix evaluation; pages to verify</w:t>
            </w:r>
          </w:p>
        </w:tc>
        <w:tc>
          <w:tcPr>
            <w:tcW w:type="dxa" w:w="1216"/>
            <w:vAlign w:val="top"/>
          </w:tcPr>
          <w:p>
            <w:r>
              <w:rPr>
                <w:sz w:val="12"/>
              </w:rPr>
              <w:t>Hidden cost</w:t>
            </w:r>
          </w:p>
        </w:tc>
      </w:tr>
      <w:tr>
        <w:tc>
          <w:tcPr>
            <w:tcW w:type="dxa" w:w="1216"/>
            <w:vAlign w:val="top"/>
          </w:tcPr>
          <w:p>
            <w:r>
              <w:rPr>
                <w:sz w:val="12"/>
              </w:rPr>
              <w:t>chen_evaluating_2024</w:t>
            </w:r>
          </w:p>
        </w:tc>
        <w:tc>
          <w:tcPr>
            <w:tcW w:type="dxa" w:w="1216"/>
            <w:vAlign w:val="top"/>
          </w:tcPr>
          <w:p>
            <w:r>
              <w:rPr>
                <w:sz w:val="12"/>
              </w:rPr>
              <w:t>NB1</w:t>
            </w:r>
          </w:p>
        </w:tc>
        <w:tc>
          <w:tcPr>
            <w:tcW w:type="dxa" w:w="1216"/>
            <w:vAlign w:val="top"/>
          </w:tcPr>
          <w:p>
            <w:r>
              <w:rPr>
                <w:sz w:val="12"/>
              </w:rPr>
              <w:t>A1</w:t>
            </w:r>
          </w:p>
        </w:tc>
        <w:tc>
          <w:tcPr>
            <w:tcW w:type="dxa" w:w="1216"/>
            <w:vAlign w:val="top"/>
          </w:tcPr>
          <w:p>
            <w:r>
              <w:rPr>
                <w:sz w:val="12"/>
              </w:rPr>
              <w:t>CORE</w:t>
            </w:r>
          </w:p>
        </w:tc>
        <w:tc>
          <w:tcPr>
            <w:tcW w:type="dxa" w:w="1216"/>
            <w:vAlign w:val="top"/>
          </w:tcPr>
          <w:p>
            <w:r>
              <w:rPr>
                <w:sz w:val="12"/>
              </w:rPr>
              <w:t>Software-development agents differ substantially in patch patterns and quality; unresolved issues and fragile patches show that agent output does not automatically translate into saved engineering labour.</w:t>
            </w:r>
          </w:p>
        </w:tc>
        <w:tc>
          <w:tcPr>
            <w:tcW w:type="dxa" w:w="1216"/>
            <w:vAlign w:val="top"/>
          </w:tcPr>
          <w:p>
            <w:r>
              <w:rPr>
                <w:sz w:val="12"/>
              </w:rPr>
              <w:t>170 issues unresolved by all agents; patch/code-quality metrics</w:t>
            </w:r>
          </w:p>
        </w:tc>
        <w:tc>
          <w:tcPr>
            <w:tcW w:type="dxa" w:w="1216"/>
            <w:vAlign w:val="top"/>
          </w:tcPr>
          <w:p>
            <w:r>
              <w:rPr>
                <w:sz w:val="12"/>
              </w:rPr>
              <w:t>Mixed: partial automation with residual labour</w:t>
            </w:r>
          </w:p>
        </w:tc>
        <w:tc>
          <w:tcPr>
            <w:tcW w:type="dxa" w:w="1216"/>
            <w:vAlign w:val="top"/>
          </w:tcPr>
          <w:p>
            <w:r>
              <w:rPr>
                <w:sz w:val="12"/>
              </w:rPr>
              <w:t>Results / patch-pattern evaluation; pages to verify</w:t>
            </w:r>
          </w:p>
        </w:tc>
        <w:tc>
          <w:tcPr>
            <w:tcW w:type="dxa" w:w="1216"/>
            <w:vAlign w:val="top"/>
          </w:tcPr>
          <w:p>
            <w:r>
              <w:rPr>
                <w:sz w:val="12"/>
              </w:rPr>
              <w:t>Supervision overhead</w:t>
            </w:r>
          </w:p>
        </w:tc>
      </w:tr>
      <w:tr>
        <w:tc>
          <w:tcPr>
            <w:tcW w:type="dxa" w:w="1216"/>
            <w:vAlign w:val="top"/>
          </w:tcPr>
          <w:p>
            <w:r>
              <w:rPr>
                <w:sz w:val="12"/>
              </w:rPr>
              <w:t>zhang_rethinking_2025</w:t>
            </w:r>
          </w:p>
        </w:tc>
        <w:tc>
          <w:tcPr>
            <w:tcW w:type="dxa" w:w="1216"/>
            <w:vAlign w:val="top"/>
          </w:tcPr>
          <w:p>
            <w:r>
              <w:rPr>
                <w:sz w:val="12"/>
              </w:rPr>
              <w:t>NB1</w:t>
            </w:r>
          </w:p>
        </w:tc>
        <w:tc>
          <w:tcPr>
            <w:tcW w:type="dxa" w:w="1216"/>
            <w:vAlign w:val="top"/>
          </w:tcPr>
          <w:p>
            <w:r>
              <w:rPr>
                <w:sz w:val="12"/>
              </w:rPr>
              <w:t>A1</w:t>
            </w:r>
          </w:p>
        </w:tc>
        <w:tc>
          <w:tcPr>
            <w:tcW w:type="dxa" w:w="1216"/>
            <w:vAlign w:val="top"/>
          </w:tcPr>
          <w:p>
            <w:r>
              <w:rPr>
                <w:sz w:val="12"/>
              </w:rPr>
              <w:t>CORE</w:t>
            </w:r>
          </w:p>
        </w:tc>
        <w:tc>
          <w:tcPr>
            <w:tcW w:type="dxa" w:w="1216"/>
            <w:vAlign w:val="top"/>
          </w:tcPr>
          <w:p>
            <w:r>
              <w:rPr>
                <w:sz w:val="12"/>
              </w:rPr>
              <w:t>AI coding proficiency varies sharply by technology stack, implying that the economic value of AI assistance depends on library and framework choice rather than applying uniformly across projects.</w:t>
            </w:r>
          </w:p>
        </w:tc>
        <w:tc>
          <w:tcPr>
            <w:tcW w:type="dxa" w:w="1216"/>
            <w:vAlign w:val="top"/>
          </w:tcPr>
          <w:p>
            <w:r>
              <w:rPr>
                <w:sz w:val="12"/>
              </w:rPr>
              <w:t>Up to 84% difference between similar libraries; 11.17% competitor-pair gap</w:t>
            </w:r>
          </w:p>
        </w:tc>
        <w:tc>
          <w:tcPr>
            <w:tcW w:type="dxa" w:w="1216"/>
            <w:vAlign w:val="top"/>
          </w:tcPr>
          <w:p>
            <w:r>
              <w:rPr>
                <w:sz w:val="12"/>
              </w:rPr>
              <w:t>Context-dependent benefit</w:t>
            </w:r>
          </w:p>
        </w:tc>
        <w:tc>
          <w:tcPr>
            <w:tcW w:type="dxa" w:w="1216"/>
            <w:vAlign w:val="top"/>
          </w:tcPr>
          <w:p>
            <w:r>
              <w:rPr>
                <w:sz w:val="12"/>
              </w:rPr>
              <w:t>Results / stack comparison; pages to verify</w:t>
            </w:r>
          </w:p>
        </w:tc>
        <w:tc>
          <w:tcPr>
            <w:tcW w:type="dxa" w:w="1216"/>
            <w:vAlign w:val="top"/>
          </w:tcPr>
          <w:p>
            <w:r>
              <w:rPr>
                <w:sz w:val="12"/>
              </w:rPr>
              <w:t>Productivity gain as economic proxy</w:t>
            </w:r>
          </w:p>
        </w:tc>
      </w:tr>
      <w:tr>
        <w:tc>
          <w:tcPr>
            <w:tcW w:type="dxa" w:w="1216"/>
            <w:vAlign w:val="top"/>
          </w:tcPr>
          <w:p>
            <w:r>
              <w:rPr>
                <w:sz w:val="12"/>
              </w:rPr>
              <w:t>aleithan_swe-bench_2024</w:t>
            </w:r>
          </w:p>
        </w:tc>
        <w:tc>
          <w:tcPr>
            <w:tcW w:type="dxa" w:w="1216"/>
            <w:vAlign w:val="top"/>
          </w:tcPr>
          <w:p>
            <w:r>
              <w:rPr>
                <w:sz w:val="12"/>
              </w:rPr>
              <w:t>NB1</w:t>
            </w:r>
          </w:p>
        </w:tc>
        <w:tc>
          <w:tcPr>
            <w:tcW w:type="dxa" w:w="1216"/>
            <w:vAlign w:val="top"/>
          </w:tcPr>
          <w:p>
            <w:r>
              <w:rPr>
                <w:sz w:val="12"/>
              </w:rPr>
              <w:t>A1</w:t>
            </w:r>
          </w:p>
        </w:tc>
        <w:tc>
          <w:tcPr>
            <w:tcW w:type="dxa" w:w="1216"/>
            <w:vAlign w:val="top"/>
          </w:tcPr>
          <w:p>
            <w:r>
              <w:rPr>
                <w:sz w:val="12"/>
              </w:rPr>
              <w:t>CORE</w:t>
            </w:r>
          </w:p>
        </w:tc>
        <w:tc>
          <w:tcPr>
            <w:tcW w:type="dxa" w:w="1216"/>
            <w:vAlign w:val="top"/>
          </w:tcPr>
          <w:p>
            <w:r>
              <w:rPr>
                <w:sz w:val="12"/>
              </w:rPr>
              <w:t>Benchmark improvements can be inflated by weak tests and leakage, so economic claims based only on reported resolve rates risk overstating actual deliverable value.</w:t>
            </w:r>
          </w:p>
        </w:tc>
        <w:tc>
          <w:tcPr>
            <w:tcW w:type="dxa" w:w="1216"/>
            <w:vAlign w:val="top"/>
          </w:tcPr>
          <w:p>
            <w:r>
              <w:rPr>
                <w:sz w:val="12"/>
              </w:rPr>
              <w:t>Resolution, weak-test, leakage and validation metrics</w:t>
            </w:r>
          </w:p>
        </w:tc>
        <w:tc>
          <w:tcPr>
            <w:tcW w:type="dxa" w:w="1216"/>
            <w:vAlign w:val="top"/>
          </w:tcPr>
          <w:p>
            <w:r>
              <w:rPr>
                <w:sz w:val="12"/>
              </w:rPr>
              <w:t>Negative caution: inflated ROI risk</w:t>
            </w:r>
          </w:p>
        </w:tc>
        <w:tc>
          <w:tcPr>
            <w:tcW w:type="dxa" w:w="1216"/>
            <w:vAlign w:val="top"/>
          </w:tcPr>
          <w:p>
            <w:r>
              <w:rPr>
                <w:sz w:val="12"/>
              </w:rPr>
              <w:t>Results / enhanced benchmark analysis; pages to verify</w:t>
            </w:r>
          </w:p>
        </w:tc>
        <w:tc>
          <w:tcPr>
            <w:tcW w:type="dxa" w:w="1216"/>
            <w:vAlign w:val="top"/>
          </w:tcPr>
          <w:p>
            <w:r>
              <w:rPr>
                <w:sz w:val="12"/>
              </w:rPr>
              <w:t>Hidden cost</w:t>
            </w:r>
          </w:p>
        </w:tc>
      </w:tr>
      <w:tr>
        <w:tc>
          <w:tcPr>
            <w:tcW w:type="dxa" w:w="1216"/>
            <w:vAlign w:val="top"/>
          </w:tcPr>
          <w:p>
            <w:r>
              <w:rPr>
                <w:sz w:val="12"/>
              </w:rPr>
              <w:t>al-hashimi_generative_2026</w:t>
            </w:r>
          </w:p>
        </w:tc>
        <w:tc>
          <w:tcPr>
            <w:tcW w:type="dxa" w:w="1216"/>
            <w:vAlign w:val="top"/>
          </w:tcPr>
          <w:p>
            <w:r>
              <w:rPr>
                <w:sz w:val="12"/>
              </w:rPr>
              <w:t>NB2</w:t>
            </w:r>
          </w:p>
        </w:tc>
        <w:tc>
          <w:tcPr>
            <w:tcW w:type="dxa" w:w="1216"/>
            <w:vAlign w:val="top"/>
          </w:tcPr>
          <w:p>
            <w:r>
              <w:rPr>
                <w:sz w:val="12"/>
              </w:rPr>
              <w:t>B</w:t>
            </w:r>
          </w:p>
        </w:tc>
        <w:tc>
          <w:tcPr>
            <w:tcW w:type="dxa" w:w="1216"/>
            <w:vAlign w:val="top"/>
          </w:tcPr>
          <w:p>
            <w:r>
              <w:rPr>
                <w:sz w:val="12"/>
              </w:rPr>
              <w:t>SUPPORTING</w:t>
            </w:r>
          </w:p>
        </w:tc>
        <w:tc>
          <w:tcPr>
            <w:tcW w:type="dxa" w:w="1216"/>
            <w:vAlign w:val="top"/>
          </w:tcPr>
          <w:p>
            <w:r>
              <w:rPr>
                <w:sz w:val="12"/>
              </w:rPr>
              <w:t>The mitigation model frames AI code generation as carrying cybersecurity risk that must be managed, making risk-control expenditure part of the economic picture.</w:t>
            </w:r>
          </w:p>
        </w:tc>
        <w:tc>
          <w:tcPr>
            <w:tcW w:type="dxa" w:w="1216"/>
            <w:vAlign w:val="top"/>
          </w:tcPr>
          <w:p>
            <w:r>
              <w:rPr>
                <w:sz w:val="12"/>
              </w:rPr>
              <w:t>Risk-impact percentages; ANN-ISM importance metrics</w:t>
            </w:r>
          </w:p>
        </w:tc>
        <w:tc>
          <w:tcPr>
            <w:tcW w:type="dxa" w:w="1216"/>
            <w:vAlign w:val="top"/>
          </w:tcPr>
          <w:p>
            <w:r>
              <w:rPr>
                <w:sz w:val="12"/>
              </w:rPr>
              <w:t>Negative hidden-cost signal</w:t>
            </w:r>
          </w:p>
        </w:tc>
        <w:tc>
          <w:tcPr>
            <w:tcW w:type="dxa" w:w="1216"/>
            <w:vAlign w:val="top"/>
          </w:tcPr>
          <w:p>
            <w:r>
              <w:rPr>
                <w:sz w:val="12"/>
              </w:rPr>
              <w:t>Results / ANN-ISM model; pages to verify</w:t>
            </w:r>
          </w:p>
        </w:tc>
        <w:tc>
          <w:tcPr>
            <w:tcW w:type="dxa" w:w="1216"/>
            <w:vAlign w:val="top"/>
          </w:tcPr>
          <w:p>
            <w:r>
              <w:rPr>
                <w:sz w:val="12"/>
              </w:rPr>
              <w:t>Supervision overhead</w:t>
            </w:r>
          </w:p>
        </w:tc>
      </w:tr>
      <w:tr>
        <w:tc>
          <w:tcPr>
            <w:tcW w:type="dxa" w:w="1216"/>
            <w:vAlign w:val="top"/>
          </w:tcPr>
          <w:p>
            <w:r>
              <w:rPr>
                <w:sz w:val="12"/>
              </w:rPr>
              <w:t>stray_human-ai_2025</w:t>
            </w:r>
          </w:p>
        </w:tc>
        <w:tc>
          <w:tcPr>
            <w:tcW w:type="dxa" w:w="1216"/>
            <w:vAlign w:val="top"/>
          </w:tcPr>
          <w:p>
            <w:r>
              <w:rPr>
                <w:sz w:val="12"/>
              </w:rPr>
              <w:t>NB3</w:t>
            </w:r>
          </w:p>
        </w:tc>
        <w:tc>
          <w:tcPr>
            <w:tcW w:type="dxa" w:w="1216"/>
            <w:vAlign w:val="top"/>
          </w:tcPr>
          <w:p>
            <w:r>
              <w:rPr>
                <w:sz w:val="12"/>
              </w:rPr>
              <w:t>A1</w:t>
            </w:r>
          </w:p>
        </w:tc>
        <w:tc>
          <w:tcPr>
            <w:tcW w:type="dxa" w:w="1216"/>
            <w:vAlign w:val="top"/>
          </w:tcPr>
          <w:p>
            <w:r>
              <w:rPr>
                <w:sz w:val="12"/>
              </w:rPr>
              <w:t>CORE</w:t>
            </w:r>
          </w:p>
        </w:tc>
        <w:tc>
          <w:tcPr>
            <w:tcW w:type="dxa" w:w="1216"/>
            <w:vAlign w:val="top"/>
          </w:tcPr>
          <w:p>
            <w:r>
              <w:rPr>
                <w:sz w:val="12"/>
              </w:rPr>
              <w:t>Developer adoption depends on fit, generational differences and ethical concerns, indicating that real economic value requires organisational conditions that support sustained use.</w:t>
            </w:r>
          </w:p>
        </w:tc>
        <w:tc>
          <w:tcPr>
            <w:tcW w:type="dxa" w:w="1216"/>
            <w:vAlign w:val="top"/>
          </w:tcPr>
          <w:p>
            <w:r>
              <w:rPr>
                <w:sz w:val="12"/>
              </w:rPr>
              <w:t>Likert and qualitative themes</w:t>
            </w:r>
          </w:p>
        </w:tc>
        <w:tc>
          <w:tcPr>
            <w:tcW w:type="dxa" w:w="1216"/>
            <w:vAlign w:val="top"/>
          </w:tcPr>
          <w:p>
            <w:r>
              <w:rPr>
                <w:sz w:val="12"/>
              </w:rPr>
              <w:t>Context-dependent adoption value</w:t>
            </w:r>
          </w:p>
        </w:tc>
        <w:tc>
          <w:tcPr>
            <w:tcW w:type="dxa" w:w="1216"/>
            <w:vAlign w:val="top"/>
          </w:tcPr>
          <w:p>
            <w:r>
              <w:rPr>
                <w:sz w:val="12"/>
              </w:rPr>
              <w:t>Findings / mixed-methods results; pages to verify</w:t>
            </w:r>
          </w:p>
        </w:tc>
        <w:tc>
          <w:tcPr>
            <w:tcW w:type="dxa" w:w="1216"/>
            <w:vAlign w:val="top"/>
          </w:tcPr>
          <w:p>
            <w:r>
              <w:rPr>
                <w:sz w:val="12"/>
              </w:rPr>
              <w:t>Tool adoption cost</w:t>
            </w:r>
          </w:p>
        </w:tc>
      </w:tr>
      <w:tr>
        <w:tc>
          <w:tcPr>
            <w:tcW w:type="dxa" w:w="1216"/>
            <w:vAlign w:val="top"/>
          </w:tcPr>
          <w:p>
            <w:r>
              <w:rPr>
                <w:sz w:val="12"/>
              </w:rPr>
              <w:t>lyu_will_2025</w:t>
            </w:r>
          </w:p>
        </w:tc>
        <w:tc>
          <w:tcPr>
            <w:tcW w:type="dxa" w:w="1216"/>
            <w:vAlign w:val="top"/>
          </w:tcPr>
          <w:p>
            <w:r>
              <w:rPr>
                <w:sz w:val="12"/>
              </w:rPr>
              <w:t>NB3</w:t>
            </w:r>
          </w:p>
        </w:tc>
        <w:tc>
          <w:tcPr>
            <w:tcW w:type="dxa" w:w="1216"/>
            <w:vAlign w:val="top"/>
          </w:tcPr>
          <w:p>
            <w:r>
              <w:rPr>
                <w:sz w:val="12"/>
              </w:rPr>
              <w:t>A1</w:t>
            </w:r>
          </w:p>
        </w:tc>
        <w:tc>
          <w:tcPr>
            <w:tcW w:type="dxa" w:w="1216"/>
            <w:vAlign w:val="top"/>
          </w:tcPr>
          <w:p>
            <w:r>
              <w:rPr>
                <w:sz w:val="12"/>
              </w:rPr>
              <w:t>CORE</w:t>
            </w:r>
          </w:p>
        </w:tc>
        <w:tc>
          <w:tcPr>
            <w:tcW w:type="dxa" w:w="1216"/>
            <w:vAlign w:val="top"/>
          </w:tcPr>
          <w:p>
            <w:r>
              <w:rPr>
                <w:sz w:val="12"/>
              </w:rPr>
              <w:t>Pair programming with generative AI can outperform some alternatives, but outcomes depend on whether assistance is proactive or standard and how developers interact with it.</w:t>
            </w:r>
          </w:p>
        </w:tc>
        <w:tc>
          <w:tcPr>
            <w:tcW w:type="dxa" w:w="1216"/>
            <w:vAlign w:val="top"/>
          </w:tcPr>
          <w:p>
            <w:r>
              <w:rPr>
                <w:sz w:val="12"/>
              </w:rPr>
              <w:t>Task scores and survey measures</w:t>
            </w:r>
          </w:p>
        </w:tc>
        <w:tc>
          <w:tcPr>
            <w:tcW w:type="dxa" w:w="1216"/>
            <w:vAlign w:val="top"/>
          </w:tcPr>
          <w:p>
            <w:r>
              <w:rPr>
                <w:sz w:val="12"/>
              </w:rPr>
              <w:t>Positive but context-dependent</w:t>
            </w:r>
          </w:p>
        </w:tc>
        <w:tc>
          <w:tcPr>
            <w:tcW w:type="dxa" w:w="1216"/>
            <w:vAlign w:val="top"/>
          </w:tcPr>
          <w:p>
            <w:r>
              <w:rPr>
                <w:sz w:val="12"/>
              </w:rPr>
              <w:t>Results / pair-programming evaluation; pages to verify</w:t>
            </w:r>
          </w:p>
        </w:tc>
        <w:tc>
          <w:tcPr>
            <w:tcW w:type="dxa" w:w="1216"/>
            <w:vAlign w:val="top"/>
          </w:tcPr>
          <w:p>
            <w:r>
              <w:rPr>
                <w:sz w:val="12"/>
              </w:rPr>
              <w:t>Productivity gain as economic proxy</w:t>
            </w:r>
          </w:p>
        </w:tc>
      </w:tr>
      <w:tr>
        <w:tc>
          <w:tcPr>
            <w:tcW w:type="dxa" w:w="1216"/>
            <w:vAlign w:val="top"/>
          </w:tcPr>
          <w:p>
            <w:r>
              <w:rPr>
                <w:sz w:val="12"/>
              </w:rPr>
              <w:t>song_impact_2024</w:t>
            </w:r>
          </w:p>
        </w:tc>
        <w:tc>
          <w:tcPr>
            <w:tcW w:type="dxa" w:w="1216"/>
            <w:vAlign w:val="top"/>
          </w:tcPr>
          <w:p>
            <w:r>
              <w:rPr>
                <w:sz w:val="12"/>
              </w:rPr>
              <w:t>NB3</w:t>
            </w:r>
          </w:p>
        </w:tc>
        <w:tc>
          <w:tcPr>
            <w:tcW w:type="dxa" w:w="1216"/>
            <w:vAlign w:val="top"/>
          </w:tcPr>
          <w:p>
            <w:r>
              <w:rPr>
                <w:sz w:val="12"/>
              </w:rPr>
              <w:t>A1</w:t>
            </w:r>
          </w:p>
        </w:tc>
        <w:tc>
          <w:tcPr>
            <w:tcW w:type="dxa" w:w="1216"/>
            <w:vAlign w:val="top"/>
          </w:tcPr>
          <w:p>
            <w:r>
              <w:rPr>
                <w:sz w:val="12"/>
              </w:rPr>
              <w:t>CORE</w:t>
            </w:r>
          </w:p>
        </w:tc>
        <w:tc>
          <w:tcPr>
            <w:tcW w:type="dxa" w:w="1216"/>
            <w:vAlign w:val="top"/>
          </w:tcPr>
          <w:p>
            <w:r>
              <w:rPr>
                <w:sz w:val="12"/>
              </w:rPr>
              <w:t>Copilot adoption in collaborative OSS is associated with more contributions and participation, but coordination time also increases, so productivity gains are accompanied by coordination cost.</w:t>
            </w:r>
          </w:p>
        </w:tc>
        <w:tc>
          <w:tcPr>
            <w:tcW w:type="dxa" w:w="1216"/>
            <w:vAlign w:val="top"/>
          </w:tcPr>
          <w:p>
            <w:r>
              <w:rPr>
                <w:sz w:val="12"/>
              </w:rPr>
              <w:t>+5.9% contributions; +3.4% participation; increased PR merge time</w:t>
            </w:r>
          </w:p>
        </w:tc>
        <w:tc>
          <w:tcPr>
            <w:tcW w:type="dxa" w:w="1216"/>
            <w:vAlign w:val="top"/>
          </w:tcPr>
          <w:p>
            <w:r>
              <w:rPr>
                <w:sz w:val="12"/>
              </w:rPr>
              <w:t>Mixed: gain plus coordination overhead</w:t>
            </w:r>
          </w:p>
        </w:tc>
        <w:tc>
          <w:tcPr>
            <w:tcW w:type="dxa" w:w="1216"/>
            <w:vAlign w:val="top"/>
          </w:tcPr>
          <w:p>
            <w:r>
              <w:rPr>
                <w:sz w:val="12"/>
              </w:rPr>
              <w:t>Results / GitHub adoption analysis; pages to verify</w:t>
            </w:r>
          </w:p>
        </w:tc>
        <w:tc>
          <w:tcPr>
            <w:tcW w:type="dxa" w:w="1216"/>
            <w:vAlign w:val="top"/>
          </w:tcPr>
          <w:p>
            <w:r>
              <w:rPr>
                <w:sz w:val="12"/>
              </w:rPr>
              <w:t>Productivity gain as economic proxy</w:t>
            </w:r>
          </w:p>
        </w:tc>
      </w:tr>
      <w:tr>
        <w:tc>
          <w:tcPr>
            <w:tcW w:type="dxa" w:w="1216"/>
            <w:vAlign w:val="top"/>
          </w:tcPr>
          <w:p>
            <w:r>
              <w:rPr>
                <w:sz w:val="12"/>
              </w:rPr>
              <w:t>rasnayaka_empirical_2024</w:t>
            </w:r>
          </w:p>
        </w:tc>
        <w:tc>
          <w:tcPr>
            <w:tcW w:type="dxa" w:w="1216"/>
            <w:vAlign w:val="top"/>
          </w:tcPr>
          <w:p>
            <w:r>
              <w:rPr>
                <w:sz w:val="12"/>
              </w:rPr>
              <w:t>NB4</w:t>
            </w:r>
          </w:p>
        </w:tc>
        <w:tc>
          <w:tcPr>
            <w:tcW w:type="dxa" w:w="1216"/>
            <w:vAlign w:val="top"/>
          </w:tcPr>
          <w:p>
            <w:r>
              <w:rPr>
                <w:sz w:val="12"/>
              </w:rPr>
              <w:t>A2</w:t>
            </w:r>
          </w:p>
        </w:tc>
        <w:tc>
          <w:tcPr>
            <w:tcW w:type="dxa" w:w="1216"/>
            <w:vAlign w:val="top"/>
          </w:tcPr>
          <w:p>
            <w:r>
              <w:rPr>
                <w:sz w:val="12"/>
              </w:rPr>
              <w:t>SUPPORTING</w:t>
            </w:r>
          </w:p>
        </w:tc>
        <w:tc>
          <w:tcPr>
            <w:tcW w:type="dxa" w:w="1216"/>
            <w:vAlign w:val="top"/>
          </w:tcPr>
          <w:p>
            <w:r>
              <w:rPr>
                <w:sz w:val="12"/>
              </w:rPr>
              <w:t>LLMs are most useful early in a software-engineering project and require substantial human intervention, limiting the interpretation of generated code as direct labour substitution.</w:t>
            </w:r>
          </w:p>
        </w:tc>
        <w:tc>
          <w:tcPr>
            <w:tcW w:type="dxa" w:w="1216"/>
            <w:vAlign w:val="top"/>
          </w:tcPr>
          <w:p>
            <w:r>
              <w:rPr>
                <w:sz w:val="12"/>
              </w:rPr>
              <w:t>Generated LOC/snippets; intervention levels 0-2; milestone usage</w:t>
            </w:r>
          </w:p>
        </w:tc>
        <w:tc>
          <w:tcPr>
            <w:tcW w:type="dxa" w:w="1216"/>
            <w:vAlign w:val="top"/>
          </w:tcPr>
          <w:p>
            <w:r>
              <w:rPr>
                <w:sz w:val="12"/>
              </w:rPr>
              <w:t>Mixed: early assistance with supervision overhead</w:t>
            </w:r>
          </w:p>
        </w:tc>
        <w:tc>
          <w:tcPr>
            <w:tcW w:type="dxa" w:w="1216"/>
            <w:vAlign w:val="top"/>
          </w:tcPr>
          <w:p>
            <w:r>
              <w:rPr>
                <w:sz w:val="12"/>
              </w:rPr>
              <w:t>Results / project study; pages to verify</w:t>
            </w:r>
          </w:p>
        </w:tc>
        <w:tc>
          <w:tcPr>
            <w:tcW w:type="dxa" w:w="1216"/>
            <w:vAlign w:val="top"/>
          </w:tcPr>
          <w:p>
            <w:r>
              <w:rPr>
                <w:sz w:val="12"/>
              </w:rPr>
              <w:t>Supervision overhead</w:t>
            </w:r>
          </w:p>
        </w:tc>
      </w:tr>
      <w:tr>
        <w:tc>
          <w:tcPr>
            <w:tcW w:type="dxa" w:w="1216"/>
            <w:vAlign w:val="top"/>
          </w:tcPr>
          <w:p>
            <w:r>
              <w:rPr>
                <w:sz w:val="12"/>
              </w:rPr>
              <w:t>ahmad_towards_2023</w:t>
            </w:r>
          </w:p>
        </w:tc>
        <w:tc>
          <w:tcPr>
            <w:tcW w:type="dxa" w:w="1216"/>
            <w:vAlign w:val="top"/>
          </w:tcPr>
          <w:p>
            <w:r>
              <w:rPr>
                <w:sz w:val="12"/>
              </w:rPr>
              <w:t>NB4</w:t>
            </w:r>
          </w:p>
        </w:tc>
        <w:tc>
          <w:tcPr>
            <w:tcW w:type="dxa" w:w="1216"/>
            <w:vAlign w:val="top"/>
          </w:tcPr>
          <w:p>
            <w:r>
              <w:rPr>
                <w:sz w:val="12"/>
              </w:rPr>
              <w:t>B</w:t>
            </w:r>
          </w:p>
        </w:tc>
        <w:tc>
          <w:tcPr>
            <w:tcW w:type="dxa" w:w="1216"/>
            <w:vAlign w:val="top"/>
          </w:tcPr>
          <w:p>
            <w:r>
              <w:rPr>
                <w:sz w:val="12"/>
              </w:rPr>
              <w:t>REMOVE_CANDIDATE</w:t>
            </w:r>
          </w:p>
        </w:tc>
        <w:tc>
          <w:tcPr>
            <w:tcW w:type="dxa" w:w="1216"/>
            <w:vAlign w:val="top"/>
          </w:tcPr>
          <w:p>
            <w:r>
              <w:rPr>
                <w:sz w:val="12"/>
              </w:rPr>
              <w:t>No anchor extracted — REMOVE_CANDIDATE; excluded from citation and narrative by instruction.</w:t>
            </w:r>
          </w:p>
        </w:tc>
        <w:tc>
          <w:tcPr>
            <w:tcW w:type="dxa" w:w="1216"/>
            <w:vAlign w:val="top"/>
          </w:tcPr>
          <w:p>
            <w:r>
              <w:rPr>
                <w:sz w:val="12"/>
              </w:rPr>
              <w:t>Not applicable</w:t>
            </w:r>
          </w:p>
        </w:tc>
        <w:tc>
          <w:tcPr>
            <w:tcW w:type="dxa" w:w="1216"/>
            <w:vAlign w:val="top"/>
          </w:tcPr>
          <w:p>
            <w:r>
              <w:rPr>
                <w:sz w:val="12"/>
              </w:rPr>
              <w:t>Excluded</w:t>
            </w:r>
          </w:p>
        </w:tc>
        <w:tc>
          <w:tcPr>
            <w:tcW w:type="dxa" w:w="1216"/>
            <w:vAlign w:val="top"/>
          </w:tcPr>
          <w:p>
            <w:r>
              <w:rPr>
                <w:sz w:val="12"/>
              </w:rPr>
              <w:t>Not applicable</w:t>
            </w:r>
          </w:p>
        </w:tc>
        <w:tc>
          <w:tcPr>
            <w:tcW w:type="dxa" w:w="1216"/>
            <w:vAlign w:val="top"/>
          </w:tcPr>
          <w:p>
            <w:r>
              <w:rPr>
                <w:sz w:val="12"/>
              </w:rPr>
              <w:t>Not applicable</w:t>
            </w:r>
          </w:p>
        </w:tc>
      </w:tr>
      <w:tr>
        <w:tc>
          <w:tcPr>
            <w:tcW w:type="dxa" w:w="1216"/>
            <w:vAlign w:val="top"/>
          </w:tcPr>
          <w:p>
            <w:r>
              <w:rPr>
                <w:sz w:val="12"/>
              </w:rPr>
              <w:t>yang_cref_2024</w:t>
            </w:r>
          </w:p>
        </w:tc>
        <w:tc>
          <w:tcPr>
            <w:tcW w:type="dxa" w:w="1216"/>
            <w:vAlign w:val="top"/>
          </w:tcPr>
          <w:p>
            <w:r>
              <w:rPr>
                <w:sz w:val="12"/>
              </w:rPr>
              <w:t>NB3</w:t>
            </w:r>
          </w:p>
        </w:tc>
        <w:tc>
          <w:tcPr>
            <w:tcW w:type="dxa" w:w="1216"/>
            <w:vAlign w:val="top"/>
          </w:tcPr>
          <w:p>
            <w:r>
              <w:rPr>
                <w:sz w:val="12"/>
              </w:rPr>
              <w:t>A1</w:t>
            </w:r>
          </w:p>
        </w:tc>
        <w:tc>
          <w:tcPr>
            <w:tcW w:type="dxa" w:w="1216"/>
            <w:vAlign w:val="top"/>
          </w:tcPr>
          <w:p>
            <w:r>
              <w:rPr>
                <w:sz w:val="12"/>
              </w:rPr>
              <w:t>CORE</w:t>
            </w:r>
          </w:p>
        </w:tc>
        <w:tc>
          <w:tcPr>
            <w:tcW w:type="dxa" w:w="1216"/>
            <w:vAlign w:val="top"/>
          </w:tcPr>
          <w:p>
            <w:r>
              <w:rPr>
                <w:sz w:val="12"/>
              </w:rPr>
              <w:t>CREF improves repair success over a GPT-4 baseline in a tutoring context and reports response-time and labour-cost reductions, providing a bounded educational repair-efficiency proxy.</w:t>
            </w:r>
          </w:p>
        </w:tc>
        <w:tc>
          <w:tcPr>
            <w:tcW w:type="dxa" w:w="1216"/>
            <w:vAlign w:val="top"/>
          </w:tcPr>
          <w:p>
            <w:r>
              <w:rPr>
                <w:sz w:val="12"/>
              </w:rPr>
              <w:t>GPT-4 AVG-5 52.0%; CREF with GPT-4 76.6%; response-time/labour-cost reduction</w:t>
            </w:r>
          </w:p>
        </w:tc>
        <w:tc>
          <w:tcPr>
            <w:tcW w:type="dxa" w:w="1216"/>
            <w:vAlign w:val="top"/>
          </w:tcPr>
          <w:p>
            <w:r>
              <w:rPr>
                <w:sz w:val="12"/>
              </w:rPr>
              <w:t>Positive productivity and cost proxy</w:t>
            </w:r>
          </w:p>
        </w:tc>
        <w:tc>
          <w:tcPr>
            <w:tcW w:type="dxa" w:w="1216"/>
            <w:vAlign w:val="top"/>
          </w:tcPr>
          <w:p>
            <w:r>
              <w:rPr>
                <w:sz w:val="12"/>
              </w:rPr>
              <w:t>Results / CREF evaluation; pages to verify</w:t>
            </w:r>
          </w:p>
        </w:tc>
        <w:tc>
          <w:tcPr>
            <w:tcW w:type="dxa" w:w="1216"/>
            <w:vAlign w:val="top"/>
          </w:tcPr>
          <w:p>
            <w:r>
              <w:rPr>
                <w:sz w:val="12"/>
              </w:rPr>
              <w:t>Cost reduction</w:t>
            </w:r>
          </w:p>
        </w:tc>
      </w:tr>
      <w:tr>
        <w:tc>
          <w:tcPr>
            <w:tcW w:type="dxa" w:w="1216"/>
            <w:vAlign w:val="top"/>
          </w:tcPr>
          <w:p>
            <w:r>
              <w:rPr>
                <w:sz w:val="12"/>
              </w:rPr>
              <w:t>zhang_autocoderover_2024</w:t>
            </w:r>
          </w:p>
        </w:tc>
        <w:tc>
          <w:tcPr>
            <w:tcW w:type="dxa" w:w="1216"/>
            <w:vAlign w:val="top"/>
          </w:tcPr>
          <w:p>
            <w:r>
              <w:rPr>
                <w:sz w:val="12"/>
              </w:rPr>
              <w:t>NB3</w:t>
            </w:r>
          </w:p>
        </w:tc>
        <w:tc>
          <w:tcPr>
            <w:tcW w:type="dxa" w:w="1216"/>
            <w:vAlign w:val="top"/>
          </w:tcPr>
          <w:p>
            <w:r>
              <w:rPr>
                <w:sz w:val="12"/>
              </w:rPr>
              <w:t>A1</w:t>
            </w:r>
          </w:p>
        </w:tc>
        <w:tc>
          <w:tcPr>
            <w:tcW w:type="dxa" w:w="1216"/>
            <w:vAlign w:val="top"/>
          </w:tcPr>
          <w:p>
            <w:r>
              <w:rPr>
                <w:sz w:val="12"/>
              </w:rPr>
              <w:t>CORE</w:t>
            </w:r>
          </w:p>
        </w:tc>
        <w:tc>
          <w:tcPr>
            <w:tcW w:type="dxa" w:w="1216"/>
            <w:vAlign w:val="top"/>
          </w:tcPr>
          <w:p>
            <w:r>
              <w:rPr>
                <w:sz w:val="12"/>
              </w:rPr>
              <w:t>AutoCodeRover resolves a minority of SWE-bench-lite tasks at low token cost, suggesting targeted autonomous repair can lower marginal attempt costs but still leaves most tasks unresolved.</w:t>
            </w:r>
          </w:p>
        </w:tc>
        <w:tc>
          <w:tcPr>
            <w:tcW w:type="dxa" w:w="1216"/>
            <w:vAlign w:val="top"/>
          </w:tcPr>
          <w:p>
            <w:r>
              <w:rPr>
                <w:sz w:val="12"/>
              </w:rPr>
              <w:t>19% pass@1; 26% pass@3; average cost about $0.x per task in source sheet</w:t>
            </w:r>
          </w:p>
        </w:tc>
        <w:tc>
          <w:tcPr>
            <w:tcW w:type="dxa" w:w="1216"/>
            <w:vAlign w:val="top"/>
          </w:tcPr>
          <w:p>
            <w:r>
              <w:rPr>
                <w:sz w:val="12"/>
              </w:rPr>
              <w:t>Positive but bounded ROI proxy</w:t>
            </w:r>
          </w:p>
        </w:tc>
        <w:tc>
          <w:tcPr>
            <w:tcW w:type="dxa" w:w="1216"/>
            <w:vAlign w:val="top"/>
          </w:tcPr>
          <w:p>
            <w:r>
              <w:rPr>
                <w:sz w:val="12"/>
              </w:rPr>
              <w:t>Results / SWE-bench-lite evaluation; pages to verify</w:t>
            </w:r>
          </w:p>
        </w:tc>
        <w:tc>
          <w:tcPr>
            <w:tcW w:type="dxa" w:w="1216"/>
            <w:vAlign w:val="top"/>
          </w:tcPr>
          <w:p>
            <w:r>
              <w:rPr>
                <w:sz w:val="12"/>
              </w:rPr>
              <w:t>ROI estimate</w:t>
            </w:r>
          </w:p>
        </w:tc>
      </w:tr>
      <w:tr>
        <w:tc>
          <w:tcPr>
            <w:tcW w:type="dxa" w:w="1216"/>
            <w:vAlign w:val="top"/>
          </w:tcPr>
          <w:p>
            <w:r>
              <w:rPr>
                <w:sz w:val="12"/>
              </w:rPr>
              <w:t>surk_reducing_2026</w:t>
            </w:r>
          </w:p>
        </w:tc>
        <w:tc>
          <w:tcPr>
            <w:tcW w:type="dxa" w:w="1216"/>
            <w:vAlign w:val="top"/>
          </w:tcPr>
          <w:p>
            <w:r>
              <w:rPr>
                <w:sz w:val="12"/>
              </w:rPr>
              <w:t>NB4</w:t>
            </w:r>
          </w:p>
        </w:tc>
        <w:tc>
          <w:tcPr>
            <w:tcW w:type="dxa" w:w="1216"/>
            <w:vAlign w:val="top"/>
          </w:tcPr>
          <w:p>
            <w:r>
              <w:rPr>
                <w:sz w:val="12"/>
              </w:rPr>
              <w:t>A2</w:t>
            </w:r>
          </w:p>
        </w:tc>
        <w:tc>
          <w:tcPr>
            <w:tcW w:type="dxa" w:w="1216"/>
            <w:vAlign w:val="top"/>
          </w:tcPr>
          <w:p>
            <w:r>
              <w:rPr>
                <w:sz w:val="12"/>
              </w:rPr>
              <w:t>SUPPORTING</w:t>
            </w:r>
          </w:p>
        </w:tc>
        <w:tc>
          <w:tcPr>
            <w:tcW w:type="dxa" w:w="1216"/>
            <w:vAlign w:val="top"/>
          </w:tcPr>
          <w:p>
            <w:r>
              <w:rPr>
                <w:sz w:val="12"/>
              </w:rPr>
              <w:t>An LLM-based reverse-engineering approach enriches vague product-management requests into actionable tickets, shifting economic value toward reduced information asymmetry and fewer clarification cycles.</w:t>
            </w:r>
          </w:p>
        </w:tc>
        <w:tc>
          <w:tcPr>
            <w:tcW w:type="dxa" w:w="1216"/>
            <w:vAlign w:val="top"/>
          </w:tcPr>
          <w:p>
            <w:r>
              <w:rPr>
                <w:sz w:val="12"/>
              </w:rPr>
              <w:t>Acceptance criteria count; code pointers; edge cases; ambiguity detection</w:t>
            </w:r>
          </w:p>
        </w:tc>
        <w:tc>
          <w:tcPr>
            <w:tcW w:type="dxa" w:w="1216"/>
            <w:vAlign w:val="top"/>
          </w:tcPr>
          <w:p>
            <w:r>
              <w:rPr>
                <w:sz w:val="12"/>
              </w:rPr>
              <w:t>Positive process-efficiency proxy</w:t>
            </w:r>
          </w:p>
        </w:tc>
        <w:tc>
          <w:tcPr>
            <w:tcW w:type="dxa" w:w="1216"/>
            <w:vAlign w:val="top"/>
          </w:tcPr>
          <w:p>
            <w:r>
              <w:rPr>
                <w:sz w:val="12"/>
              </w:rPr>
              <w:t>Results / ticket enrichment evaluation; pages to verify</w:t>
            </w:r>
          </w:p>
        </w:tc>
        <w:tc>
          <w:tcPr>
            <w:tcW w:type="dxa" w:w="1216"/>
            <w:vAlign w:val="top"/>
          </w:tcPr>
          <w:p>
            <w:r>
              <w:rPr>
                <w:sz w:val="12"/>
              </w:rPr>
              <w:t>Cost reduction</w:t>
            </w:r>
          </w:p>
        </w:tc>
      </w:tr>
      <w:tr>
        <w:tc>
          <w:tcPr>
            <w:tcW w:type="dxa" w:w="1216"/>
            <w:vAlign w:val="top"/>
          </w:tcPr>
          <w:p>
            <w:r>
              <w:rPr>
                <w:sz w:val="12"/>
              </w:rPr>
              <w:t>park_continuance_2025</w:t>
            </w:r>
          </w:p>
        </w:tc>
        <w:tc>
          <w:tcPr>
            <w:tcW w:type="dxa" w:w="1216"/>
            <w:vAlign w:val="top"/>
          </w:tcPr>
          <w:p>
            <w:r>
              <w:rPr>
                <w:sz w:val="12"/>
              </w:rPr>
              <w:t>NB3</w:t>
            </w:r>
          </w:p>
        </w:tc>
        <w:tc>
          <w:tcPr>
            <w:tcW w:type="dxa" w:w="1216"/>
            <w:vAlign w:val="top"/>
          </w:tcPr>
          <w:p>
            <w:r>
              <w:rPr>
                <w:sz w:val="12"/>
              </w:rPr>
              <w:t>A1</w:t>
            </w:r>
          </w:p>
        </w:tc>
        <w:tc>
          <w:tcPr>
            <w:tcW w:type="dxa" w:w="1216"/>
            <w:vAlign w:val="top"/>
          </w:tcPr>
          <w:p>
            <w:r>
              <w:rPr>
                <w:sz w:val="12"/>
              </w:rPr>
              <w:t>CORE</w:t>
            </w:r>
          </w:p>
        </w:tc>
        <w:tc>
          <w:tcPr>
            <w:tcW w:type="dxa" w:w="1216"/>
            <w:vAlign w:val="top"/>
          </w:tcPr>
          <w:p>
            <w:r>
              <w:rPr>
                <w:sz w:val="12"/>
              </w:rPr>
              <w:t>Continuance use is driven mainly by perceived usefulness, so economic outcomes are mediated by whether developers experience assistants as valuable enough for sustained adoption.</w:t>
            </w:r>
          </w:p>
        </w:tc>
        <w:tc>
          <w:tcPr>
            <w:tcW w:type="dxa" w:w="1216"/>
            <w:vAlign w:val="top"/>
          </w:tcPr>
          <w:p>
            <w:r>
              <w:rPr>
                <w:sz w:val="12"/>
              </w:rPr>
              <w:t>SEM path coefficients for continuance, usefulness, satisfaction</w:t>
            </w:r>
          </w:p>
        </w:tc>
        <w:tc>
          <w:tcPr>
            <w:tcW w:type="dxa" w:w="1216"/>
            <w:vAlign w:val="top"/>
          </w:tcPr>
          <w:p>
            <w:r>
              <w:rPr>
                <w:sz w:val="12"/>
              </w:rPr>
              <w:t>Context-dependent adoption value</w:t>
            </w:r>
          </w:p>
        </w:tc>
        <w:tc>
          <w:tcPr>
            <w:tcW w:type="dxa" w:w="1216"/>
            <w:vAlign w:val="top"/>
          </w:tcPr>
          <w:p>
            <w:r>
              <w:rPr>
                <w:sz w:val="12"/>
              </w:rPr>
              <w:t>Results / SEM survey; pages to verify</w:t>
            </w:r>
          </w:p>
        </w:tc>
        <w:tc>
          <w:tcPr>
            <w:tcW w:type="dxa" w:w="1216"/>
            <w:vAlign w:val="top"/>
          </w:tcPr>
          <w:p>
            <w:r>
              <w:rPr>
                <w:sz w:val="12"/>
              </w:rPr>
              <w:t>Tool adoption cost</w:t>
            </w:r>
          </w:p>
        </w:tc>
      </w:tr>
      <w:tr>
        <w:tc>
          <w:tcPr>
            <w:tcW w:type="dxa" w:w="1216"/>
            <w:vAlign w:val="top"/>
          </w:tcPr>
          <w:p>
            <w:r>
              <w:rPr>
                <w:sz w:val="12"/>
              </w:rPr>
              <w:t>murali_ai-assisted_2024</w:t>
            </w:r>
          </w:p>
        </w:tc>
        <w:tc>
          <w:tcPr>
            <w:tcW w:type="dxa" w:w="1216"/>
            <w:vAlign w:val="top"/>
          </w:tcPr>
          <w:p>
            <w:r>
              <w:rPr>
                <w:sz w:val="12"/>
              </w:rPr>
              <w:t>NB5</w:t>
            </w:r>
          </w:p>
        </w:tc>
        <w:tc>
          <w:tcPr>
            <w:tcW w:type="dxa" w:w="1216"/>
            <w:vAlign w:val="top"/>
          </w:tcPr>
          <w:p>
            <w:r>
              <w:rPr>
                <w:sz w:val="12"/>
              </w:rPr>
              <w:t>A1</w:t>
            </w:r>
          </w:p>
        </w:tc>
        <w:tc>
          <w:tcPr>
            <w:tcW w:type="dxa" w:w="1216"/>
            <w:vAlign w:val="top"/>
          </w:tcPr>
          <w:p>
            <w:r>
              <w:rPr>
                <w:sz w:val="12"/>
              </w:rPr>
              <w:t>CORE</w:t>
            </w:r>
          </w:p>
        </w:tc>
        <w:tc>
          <w:tcPr>
            <w:tcW w:type="dxa" w:w="1216"/>
            <w:vAlign w:val="top"/>
          </w:tcPr>
          <w:p>
            <w:r>
              <w:rPr>
                <w:sz w:val="12"/>
              </w:rPr>
              <w:t>At Meta scale, CodeCompose achieved measurable acceptance and code-generation shares, showing that enterprise deployment can produce economic proxies through accepted generated code, not just laboratory performance.</w:t>
            </w:r>
          </w:p>
        </w:tc>
        <w:tc>
          <w:tcPr>
            <w:tcW w:type="dxa" w:w="1216"/>
            <w:vAlign w:val="top"/>
          </w:tcPr>
          <w:p>
            <w:r>
              <w:rPr>
                <w:sz w:val="12"/>
              </w:rPr>
              <w:t>22% acceptance; 8% of code generated</w:t>
            </w:r>
          </w:p>
        </w:tc>
        <w:tc>
          <w:tcPr>
            <w:tcW w:type="dxa" w:w="1216"/>
            <w:vAlign w:val="top"/>
          </w:tcPr>
          <w:p>
            <w:r>
              <w:rPr>
                <w:sz w:val="12"/>
              </w:rPr>
              <w:t>Positive productivity proxy</w:t>
            </w:r>
          </w:p>
        </w:tc>
        <w:tc>
          <w:tcPr>
            <w:tcW w:type="dxa" w:w="1216"/>
            <w:vAlign w:val="top"/>
          </w:tcPr>
          <w:p>
            <w:r>
              <w:rPr>
                <w:sz w:val="12"/>
              </w:rPr>
              <w:t>Results / deployment and mixed-methods evaluation; pages to verify</w:t>
            </w:r>
          </w:p>
        </w:tc>
        <w:tc>
          <w:tcPr>
            <w:tcW w:type="dxa" w:w="1216"/>
            <w:vAlign w:val="top"/>
          </w:tcPr>
          <w:p>
            <w:r>
              <w:rPr>
                <w:sz w:val="12"/>
              </w:rPr>
              <w:t>Productivity gain as economic proxy</w:t>
            </w:r>
          </w:p>
        </w:tc>
      </w:tr>
      <w:tr>
        <w:tc>
          <w:tcPr>
            <w:tcW w:type="dxa" w:w="1216"/>
            <w:vAlign w:val="top"/>
          </w:tcPr>
          <w:p>
            <w:r>
              <w:rPr>
                <w:sz w:val="12"/>
              </w:rPr>
              <w:t>georgsen_beyond_2023</w:t>
            </w:r>
          </w:p>
        </w:tc>
        <w:tc>
          <w:tcPr>
            <w:tcW w:type="dxa" w:w="1216"/>
            <w:vAlign w:val="top"/>
          </w:tcPr>
          <w:p>
            <w:r>
              <w:rPr>
                <w:sz w:val="12"/>
              </w:rPr>
              <w:t>NB5</w:t>
            </w:r>
          </w:p>
        </w:tc>
        <w:tc>
          <w:tcPr>
            <w:tcW w:type="dxa" w:w="1216"/>
            <w:vAlign w:val="top"/>
          </w:tcPr>
          <w:p>
            <w:r>
              <w:rPr>
                <w:sz w:val="12"/>
              </w:rPr>
              <w:t>B</w:t>
            </w:r>
          </w:p>
        </w:tc>
        <w:tc>
          <w:tcPr>
            <w:tcW w:type="dxa" w:w="1216"/>
            <w:vAlign w:val="top"/>
          </w:tcPr>
          <w:p>
            <w:r>
              <w:rPr>
                <w:sz w:val="12"/>
              </w:rPr>
              <w:t>PERIPHERAL</w:t>
            </w:r>
          </w:p>
        </w:tc>
        <w:tc>
          <w:tcPr>
            <w:tcW w:type="dxa" w:w="1216"/>
            <w:vAlign w:val="top"/>
          </w:tcPr>
          <w:p>
            <w:r>
              <w:rPr>
                <w:sz w:val="12"/>
              </w:rPr>
              <w:t>Context only: GPT-4/Copilot-supported peer review in a VSE setting suggests process support benefits, but evidence is qualitative and peripheral for economic impact.</w:t>
            </w:r>
          </w:p>
        </w:tc>
        <w:tc>
          <w:tcPr>
            <w:tcW w:type="dxa" w:w="1216"/>
            <w:vAlign w:val="top"/>
          </w:tcPr>
          <w:p>
            <w:r>
              <w:rPr>
                <w:sz w:val="12"/>
              </w:rPr>
              <w:t>Qualitative process and participant-perception evidence</w:t>
            </w:r>
          </w:p>
        </w:tc>
        <w:tc>
          <w:tcPr>
            <w:tcW w:type="dxa" w:w="1216"/>
            <w:vAlign w:val="top"/>
          </w:tcPr>
          <w:p>
            <w:r>
              <w:rPr>
                <w:sz w:val="12"/>
              </w:rPr>
              <w:t>Contextual, peripheral positive signal</w:t>
            </w:r>
          </w:p>
        </w:tc>
        <w:tc>
          <w:tcPr>
            <w:tcW w:type="dxa" w:w="1216"/>
            <w:vAlign w:val="top"/>
          </w:tcPr>
          <w:p>
            <w:r>
              <w:rPr>
                <w:sz w:val="12"/>
              </w:rPr>
              <w:t>Findings / VSE peer-review case; pages to verify</w:t>
            </w:r>
          </w:p>
        </w:tc>
        <w:tc>
          <w:tcPr>
            <w:tcW w:type="dxa" w:w="1216"/>
            <w:vAlign w:val="top"/>
          </w:tcPr>
          <w:p>
            <w:r>
              <w:rPr>
                <w:sz w:val="12"/>
              </w:rPr>
              <w:t>Cost reduction</w:t>
            </w:r>
          </w:p>
        </w:tc>
      </w:tr>
      <w:tr>
        <w:tc>
          <w:tcPr>
            <w:tcW w:type="dxa" w:w="1216"/>
            <w:vAlign w:val="top"/>
          </w:tcPr>
          <w:p>
            <w:r>
              <w:rPr>
                <w:sz w:val="12"/>
              </w:rPr>
              <w:t>bonin_exploring_2025</w:t>
            </w:r>
          </w:p>
        </w:tc>
        <w:tc>
          <w:tcPr>
            <w:tcW w:type="dxa" w:w="1216"/>
            <w:vAlign w:val="top"/>
          </w:tcPr>
          <w:p>
            <w:r>
              <w:rPr>
                <w:sz w:val="12"/>
              </w:rPr>
              <w:t>NB5</w:t>
            </w:r>
          </w:p>
        </w:tc>
        <w:tc>
          <w:tcPr>
            <w:tcW w:type="dxa" w:w="1216"/>
            <w:vAlign w:val="top"/>
          </w:tcPr>
          <w:p>
            <w:r>
              <w:rPr>
                <w:sz w:val="12"/>
              </w:rPr>
              <w:t>B</w:t>
            </w:r>
          </w:p>
        </w:tc>
        <w:tc>
          <w:tcPr>
            <w:tcW w:type="dxa" w:w="1216"/>
            <w:vAlign w:val="top"/>
          </w:tcPr>
          <w:p>
            <w:r>
              <w:rPr>
                <w:sz w:val="12"/>
              </w:rPr>
              <w:t>SUPPORTING</w:t>
            </w:r>
          </w:p>
        </w:tc>
        <w:tc>
          <w:tcPr>
            <w:tcW w:type="dxa" w:w="1216"/>
            <w:vAlign w:val="top"/>
          </w:tcPr>
          <w:p>
            <w:r>
              <w:rPr>
                <w:sz w:val="12"/>
              </w:rPr>
              <w:t>Survey findings link widespread GenAI use with perceived productivity and organisational-efficiency gains, but the evidence is preliminary and perception-based.</w:t>
            </w:r>
          </w:p>
        </w:tc>
        <w:tc>
          <w:tcPr>
            <w:tcW w:type="dxa" w:w="1216"/>
            <w:vAlign w:val="top"/>
          </w:tcPr>
          <w:p>
            <w:r>
              <w:rPr>
                <w:sz w:val="12"/>
              </w:rPr>
              <w:t>97% report GenAI use; perceived productivity/efficiency correlations</w:t>
            </w:r>
          </w:p>
        </w:tc>
        <w:tc>
          <w:tcPr>
            <w:tcW w:type="dxa" w:w="1216"/>
            <w:vAlign w:val="top"/>
          </w:tcPr>
          <w:p>
            <w:r>
              <w:rPr>
                <w:sz w:val="12"/>
              </w:rPr>
              <w:t>Positive perceived economic proxy</w:t>
            </w:r>
          </w:p>
        </w:tc>
        <w:tc>
          <w:tcPr>
            <w:tcW w:type="dxa" w:w="1216"/>
            <w:vAlign w:val="top"/>
          </w:tcPr>
          <w:p>
            <w:r>
              <w:rPr>
                <w:sz w:val="12"/>
              </w:rPr>
              <w:t>Results / survey findings; pages to verify</w:t>
            </w:r>
          </w:p>
        </w:tc>
        <w:tc>
          <w:tcPr>
            <w:tcW w:type="dxa" w:w="1216"/>
            <w:vAlign w:val="top"/>
          </w:tcPr>
          <w:p>
            <w:r>
              <w:rPr>
                <w:sz w:val="12"/>
              </w:rPr>
              <w:t>Productivity gain as economic proxy</w:t>
            </w:r>
          </w:p>
        </w:tc>
      </w:tr>
      <w:tr>
        <w:tc>
          <w:tcPr>
            <w:tcW w:type="dxa" w:w="1216"/>
            <w:vAlign w:val="top"/>
          </w:tcPr>
          <w:p>
            <w:r>
              <w:rPr>
                <w:sz w:val="12"/>
              </w:rPr>
              <w:t>deutschmann_auswirkungen_2023</w:t>
            </w:r>
          </w:p>
        </w:tc>
        <w:tc>
          <w:tcPr>
            <w:tcW w:type="dxa" w:w="1216"/>
            <w:vAlign w:val="top"/>
          </w:tcPr>
          <w:p>
            <w:r>
              <w:rPr>
                <w:sz w:val="12"/>
              </w:rPr>
              <w:t>NB5</w:t>
            </w:r>
          </w:p>
        </w:tc>
        <w:tc>
          <w:tcPr>
            <w:tcW w:type="dxa" w:w="1216"/>
            <w:vAlign w:val="top"/>
          </w:tcPr>
          <w:p>
            <w:r>
              <w:rPr>
                <w:sz w:val="12"/>
              </w:rPr>
              <w:t>B</w:t>
            </w:r>
          </w:p>
        </w:tc>
        <w:tc>
          <w:tcPr>
            <w:tcW w:type="dxa" w:w="1216"/>
            <w:vAlign w:val="top"/>
          </w:tcPr>
          <w:p>
            <w:r>
              <w:rPr>
                <w:sz w:val="12"/>
              </w:rPr>
              <w:t>PERIPHERAL</w:t>
            </w:r>
          </w:p>
        </w:tc>
        <w:tc>
          <w:tcPr>
            <w:tcW w:type="dxa" w:w="1216"/>
            <w:vAlign w:val="top"/>
          </w:tcPr>
          <w:p>
            <w:r>
              <w:rPr>
                <w:sz w:val="12"/>
              </w:rPr>
              <w:t>Context only: Austrian software practitioners report efficiency and benefit perceptions from AI in development, but the thesis-level evidence should not anchor primary economic claims.</w:t>
            </w:r>
          </w:p>
        </w:tc>
        <w:tc>
          <w:tcPr>
            <w:tcW w:type="dxa" w:w="1216"/>
            <w:vAlign w:val="top"/>
          </w:tcPr>
          <w:p>
            <w:r>
              <w:rPr>
                <w:sz w:val="12"/>
              </w:rPr>
              <w:t>Likert statistics, correlations, p-values</w:t>
            </w:r>
          </w:p>
        </w:tc>
        <w:tc>
          <w:tcPr>
            <w:tcW w:type="dxa" w:w="1216"/>
            <w:vAlign w:val="top"/>
          </w:tcPr>
          <w:p>
            <w:r>
              <w:rPr>
                <w:sz w:val="12"/>
              </w:rPr>
              <w:t>Contextual perceived benefit</w:t>
            </w:r>
          </w:p>
        </w:tc>
        <w:tc>
          <w:tcPr>
            <w:tcW w:type="dxa" w:w="1216"/>
            <w:vAlign w:val="top"/>
          </w:tcPr>
          <w:p>
            <w:r>
              <w:rPr>
                <w:sz w:val="12"/>
              </w:rPr>
              <w:t>Results / survey analysis; pages to verify</w:t>
            </w:r>
          </w:p>
        </w:tc>
        <w:tc>
          <w:tcPr>
            <w:tcW w:type="dxa" w:w="1216"/>
            <w:vAlign w:val="top"/>
          </w:tcPr>
          <w:p>
            <w:r>
              <w:rPr>
                <w:sz w:val="12"/>
              </w:rPr>
              <w:t>Productivity gain as economic proxy</w:t>
            </w:r>
          </w:p>
        </w:tc>
      </w:tr>
      <w:tr>
        <w:tc>
          <w:tcPr>
            <w:tcW w:type="dxa" w:w="1216"/>
            <w:vAlign w:val="top"/>
          </w:tcPr>
          <w:p>
            <w:r>
              <w:rPr>
                <w:sz w:val="12"/>
              </w:rPr>
              <w:t>he_speed_2026</w:t>
            </w:r>
          </w:p>
        </w:tc>
        <w:tc>
          <w:tcPr>
            <w:tcW w:type="dxa" w:w="1216"/>
            <w:vAlign w:val="top"/>
          </w:tcPr>
          <w:p>
            <w:r>
              <w:rPr>
                <w:sz w:val="12"/>
              </w:rPr>
              <w:t>NB5</w:t>
            </w:r>
          </w:p>
        </w:tc>
        <w:tc>
          <w:tcPr>
            <w:tcW w:type="dxa" w:w="1216"/>
            <w:vAlign w:val="top"/>
          </w:tcPr>
          <w:p>
            <w:r>
              <w:rPr>
                <w:sz w:val="12"/>
              </w:rPr>
              <w:t>A2</w:t>
            </w:r>
          </w:p>
        </w:tc>
        <w:tc>
          <w:tcPr>
            <w:tcW w:type="dxa" w:w="1216"/>
            <w:vAlign w:val="top"/>
          </w:tcPr>
          <w:p>
            <w:r>
              <w:rPr>
                <w:sz w:val="12"/>
              </w:rPr>
              <w:t>CORE</w:t>
            </w:r>
          </w:p>
        </w:tc>
        <w:tc>
          <w:tcPr>
            <w:tcW w:type="dxa" w:w="1216"/>
            <w:vAlign w:val="top"/>
          </w:tcPr>
          <w:p>
            <w:r>
              <w:rPr>
                <w:sz w:val="12"/>
              </w:rPr>
              <w:t>Cursor AI increases short-term development velocity, but also increases static-analysis warnings and complexity that contribute to later velocity slowdown.</w:t>
            </w:r>
          </w:p>
        </w:tc>
        <w:tc>
          <w:tcPr>
            <w:tcW w:type="dxa" w:w="1216"/>
            <w:vAlign w:val="top"/>
          </w:tcPr>
          <w:p>
            <w:r>
              <w:rPr>
                <w:sz w:val="12"/>
              </w:rPr>
              <w:t>Velocity; static-analysis warnings; code complexity; long-term slowdown drivers</w:t>
            </w:r>
          </w:p>
        </w:tc>
        <w:tc>
          <w:tcPr>
            <w:tcW w:type="dxa" w:w="1216"/>
            <w:vAlign w:val="top"/>
          </w:tcPr>
          <w:p>
            <w:r>
              <w:rPr>
                <w:sz w:val="12"/>
              </w:rPr>
              <w:t>Mixed: short-term gain, long-term cost</w:t>
            </w:r>
          </w:p>
        </w:tc>
        <w:tc>
          <w:tcPr>
            <w:tcW w:type="dxa" w:w="1216"/>
            <w:vAlign w:val="top"/>
          </w:tcPr>
          <w:p>
            <w:r>
              <w:rPr>
                <w:sz w:val="12"/>
              </w:rPr>
              <w:t>Results / robustness and quality analysis; pages to verify</w:t>
            </w:r>
          </w:p>
        </w:tc>
        <w:tc>
          <w:tcPr>
            <w:tcW w:type="dxa" w:w="1216"/>
            <w:vAlign w:val="top"/>
          </w:tcPr>
          <w:p>
            <w:r>
              <w:rPr>
                <w:sz w:val="12"/>
              </w:rPr>
              <w:t>Hidden cost</w:t>
            </w:r>
          </w:p>
        </w:tc>
      </w:tr>
      <w:tr>
        <w:tc>
          <w:tcPr>
            <w:tcW w:type="dxa" w:w="1216"/>
            <w:vAlign w:val="top"/>
          </w:tcPr>
          <w:p>
            <w:r>
              <w:rPr>
                <w:sz w:val="12"/>
              </w:rPr>
              <w:t>omaraliev_artificial_2025</w:t>
            </w:r>
          </w:p>
        </w:tc>
        <w:tc>
          <w:tcPr>
            <w:tcW w:type="dxa" w:w="1216"/>
            <w:vAlign w:val="top"/>
          </w:tcPr>
          <w:p>
            <w:r>
              <w:rPr>
                <w:sz w:val="12"/>
              </w:rPr>
              <w:t>NB5</w:t>
            </w:r>
          </w:p>
        </w:tc>
        <w:tc>
          <w:tcPr>
            <w:tcW w:type="dxa" w:w="1216"/>
            <w:vAlign w:val="top"/>
          </w:tcPr>
          <w:p>
            <w:r>
              <w:rPr>
                <w:sz w:val="12"/>
              </w:rPr>
              <w:t>B</w:t>
            </w:r>
          </w:p>
        </w:tc>
        <w:tc>
          <w:tcPr>
            <w:tcW w:type="dxa" w:w="1216"/>
            <w:vAlign w:val="top"/>
          </w:tcPr>
          <w:p>
            <w:r>
              <w:rPr>
                <w:sz w:val="12"/>
              </w:rPr>
              <w:t>SUPPORTING</w:t>
            </w:r>
          </w:p>
        </w:tc>
        <w:tc>
          <w:tcPr>
            <w:tcW w:type="dxa" w:w="1216"/>
            <w:vAlign w:val="top"/>
          </w:tcPr>
          <w:p>
            <w:r>
              <w:rPr>
                <w:sz w:val="12"/>
              </w:rPr>
              <w:t>Practical scenarios describe time-saving and defect-reduction opportunities alongside hallucination and leakage risks, framing AI economic value as conditional on controls.</w:t>
            </w:r>
          </w:p>
        </w:tc>
        <w:tc>
          <w:tcPr>
            <w:tcW w:type="dxa" w:w="1216"/>
            <w:vAlign w:val="top"/>
          </w:tcPr>
          <w:p>
            <w:r>
              <w:rPr>
                <w:sz w:val="12"/>
              </w:rPr>
              <w:t>Time savings; defect reduction; qualitative risk/mitigation practices</w:t>
            </w:r>
          </w:p>
        </w:tc>
        <w:tc>
          <w:tcPr>
            <w:tcW w:type="dxa" w:w="1216"/>
            <w:vAlign w:val="top"/>
          </w:tcPr>
          <w:p>
            <w:r>
              <w:rPr>
                <w:sz w:val="12"/>
              </w:rPr>
              <w:t>Mixed benefit and risk</w:t>
            </w:r>
          </w:p>
        </w:tc>
        <w:tc>
          <w:tcPr>
            <w:tcW w:type="dxa" w:w="1216"/>
            <w:vAlign w:val="top"/>
          </w:tcPr>
          <w:p>
            <w:r>
              <w:rPr>
                <w:sz w:val="12"/>
              </w:rPr>
              <w:t>Results / scenario discussion; pages to verify</w:t>
            </w:r>
          </w:p>
        </w:tc>
        <w:tc>
          <w:tcPr>
            <w:tcW w:type="dxa" w:w="1216"/>
            <w:vAlign w:val="top"/>
          </w:tcPr>
          <w:p>
            <w:r>
              <w:rPr>
                <w:sz w:val="12"/>
              </w:rPr>
              <w:t>Productivity gain as economic proxy</w:t>
            </w:r>
          </w:p>
        </w:tc>
      </w:tr>
      <w:tr>
        <w:tc>
          <w:tcPr>
            <w:tcW w:type="dxa" w:w="1216"/>
            <w:vAlign w:val="top"/>
          </w:tcPr>
          <w:p>
            <w:r>
              <w:rPr>
                <w:sz w:val="12"/>
              </w:rPr>
              <w:t>matotek_evaluating_2025</w:t>
            </w:r>
          </w:p>
        </w:tc>
        <w:tc>
          <w:tcPr>
            <w:tcW w:type="dxa" w:w="1216"/>
            <w:vAlign w:val="top"/>
          </w:tcPr>
          <w:p>
            <w:r>
              <w:rPr>
                <w:sz w:val="12"/>
              </w:rPr>
              <w:t>NB5</w:t>
            </w:r>
          </w:p>
        </w:tc>
        <w:tc>
          <w:tcPr>
            <w:tcW w:type="dxa" w:w="1216"/>
            <w:vAlign w:val="top"/>
          </w:tcPr>
          <w:p>
            <w:r>
              <w:rPr>
                <w:sz w:val="12"/>
              </w:rPr>
              <w:t>A2</w:t>
            </w:r>
          </w:p>
        </w:tc>
        <w:tc>
          <w:tcPr>
            <w:tcW w:type="dxa" w:w="1216"/>
            <w:vAlign w:val="top"/>
          </w:tcPr>
          <w:p>
            <w:r>
              <w:rPr>
                <w:sz w:val="12"/>
              </w:rPr>
              <w:t>SUPPORTING</w:t>
            </w:r>
          </w:p>
        </w:tc>
        <w:tc>
          <w:tcPr>
            <w:tcW w:type="dxa" w:w="1216"/>
            <w:vAlign w:val="top"/>
          </w:tcPr>
          <w:p>
            <w:r>
              <w:rPr>
                <w:sz w:val="12"/>
              </w:rPr>
              <w:t>Local LLMs underperform frontier models on complex programming challenges, implying that lower infrastructure or privacy costs may be offset by lower task success.</w:t>
            </w:r>
          </w:p>
        </w:tc>
        <w:tc>
          <w:tcPr>
            <w:tcW w:type="dxa" w:w="1216"/>
            <w:vAlign w:val="top"/>
          </w:tcPr>
          <w:p>
            <w:r>
              <w:rPr>
                <w:sz w:val="12"/>
              </w:rPr>
              <w:t>Local models roughly half GPT-4/Gemini performance; pass@1; failure modes</w:t>
            </w:r>
          </w:p>
        </w:tc>
        <w:tc>
          <w:tcPr>
            <w:tcW w:type="dxa" w:w="1216"/>
            <w:vAlign w:val="top"/>
          </w:tcPr>
          <w:p>
            <w:r>
              <w:rPr>
                <w:sz w:val="12"/>
              </w:rPr>
              <w:t>Negative/conditional computational-cost signal</w:t>
            </w:r>
          </w:p>
        </w:tc>
        <w:tc>
          <w:tcPr>
            <w:tcW w:type="dxa" w:w="1216"/>
            <w:vAlign w:val="top"/>
          </w:tcPr>
          <w:p>
            <w:r>
              <w:rPr>
                <w:sz w:val="12"/>
              </w:rPr>
              <w:t>Results / Kattis evaluation; pages to verify</w:t>
            </w:r>
          </w:p>
        </w:tc>
        <w:tc>
          <w:tcPr>
            <w:tcW w:type="dxa" w:w="1216"/>
            <w:vAlign w:val="top"/>
          </w:tcPr>
          <w:p>
            <w:r>
              <w:rPr>
                <w:sz w:val="12"/>
              </w:rPr>
              <w:t>Computational cost</w:t>
            </w:r>
          </w:p>
        </w:tc>
      </w:tr>
      <w:tr>
        <w:tc>
          <w:tcPr>
            <w:tcW w:type="dxa" w:w="1216"/>
            <w:vAlign w:val="top"/>
          </w:tcPr>
          <w:p>
            <w:r>
              <w:rPr>
                <w:sz w:val="12"/>
              </w:rPr>
              <w:t>fan_swe-effi_2025</w:t>
            </w:r>
          </w:p>
        </w:tc>
        <w:tc>
          <w:tcPr>
            <w:tcW w:type="dxa" w:w="1216"/>
            <w:vAlign w:val="top"/>
          </w:tcPr>
          <w:p>
            <w:r>
              <w:rPr>
                <w:sz w:val="12"/>
              </w:rPr>
              <w:t>NB5</w:t>
            </w:r>
          </w:p>
        </w:tc>
        <w:tc>
          <w:tcPr>
            <w:tcW w:type="dxa" w:w="1216"/>
            <w:vAlign w:val="top"/>
          </w:tcPr>
          <w:p>
            <w:r>
              <w:rPr>
                <w:sz w:val="12"/>
              </w:rPr>
              <w:t>A2</w:t>
            </w:r>
          </w:p>
        </w:tc>
        <w:tc>
          <w:tcPr>
            <w:tcW w:type="dxa" w:w="1216"/>
            <w:vAlign w:val="top"/>
          </w:tcPr>
          <w:p>
            <w:r>
              <w:rPr>
                <w:sz w:val="12"/>
              </w:rPr>
              <w:t>SUPPORTING</w:t>
            </w:r>
          </w:p>
        </w:tc>
        <w:tc>
          <w:tcPr>
            <w:tcW w:type="dxa" w:w="1216"/>
            <w:vAlign w:val="top"/>
          </w:tcPr>
          <w:p>
            <w:r>
              <w:rPr>
                <w:sz w:val="12"/>
              </w:rPr>
              <w:t>SWE-Effi shows agent effectiveness changes under resource constraints; token snowball and expensive failures make compute consumption central to economic evaluation.</w:t>
            </w:r>
          </w:p>
        </w:tc>
        <w:tc>
          <w:tcPr>
            <w:tcW w:type="dxa" w:w="1216"/>
            <w:vAlign w:val="top"/>
          </w:tcPr>
          <w:p>
            <w:r>
              <w:rPr>
                <w:sz w:val="12"/>
              </w:rPr>
              <w:t>Resolve rate; token consumption; time; LLM calls; CPU time; EuTB/EuCB</w:t>
            </w:r>
          </w:p>
        </w:tc>
        <w:tc>
          <w:tcPr>
            <w:tcW w:type="dxa" w:w="1216"/>
            <w:vAlign w:val="top"/>
          </w:tcPr>
          <w:p>
            <w:r>
              <w:rPr>
                <w:sz w:val="12"/>
              </w:rPr>
              <w:t>Mixed: resource-aware efficiency constraint</w:t>
            </w:r>
          </w:p>
        </w:tc>
        <w:tc>
          <w:tcPr>
            <w:tcW w:type="dxa" w:w="1216"/>
            <w:vAlign w:val="top"/>
          </w:tcPr>
          <w:p>
            <w:r>
              <w:rPr>
                <w:sz w:val="12"/>
              </w:rPr>
              <w:t>Results / resource-constrained evaluation; pages to verify</w:t>
            </w:r>
          </w:p>
        </w:tc>
        <w:tc>
          <w:tcPr>
            <w:tcW w:type="dxa" w:w="1216"/>
            <w:vAlign w:val="top"/>
          </w:tcPr>
          <w:p>
            <w:r>
              <w:rPr>
                <w:sz w:val="12"/>
              </w:rPr>
              <w:t>Computational cost</w:t>
            </w:r>
          </w:p>
        </w:tc>
      </w:tr>
      <w:tr>
        <w:tc>
          <w:tcPr>
            <w:tcW w:type="dxa" w:w="1216"/>
            <w:vAlign w:val="top"/>
          </w:tcPr>
          <w:p>
            <w:r>
              <w:rPr>
                <w:sz w:val="12"/>
              </w:rPr>
              <w:t>li_exploring_2025</w:t>
            </w:r>
          </w:p>
        </w:tc>
        <w:tc>
          <w:tcPr>
            <w:tcW w:type="dxa" w:w="1216"/>
            <w:vAlign w:val="top"/>
          </w:tcPr>
          <w:p>
            <w:r>
              <w:rPr>
                <w:sz w:val="12"/>
              </w:rPr>
              <w:t>NB5</w:t>
            </w:r>
          </w:p>
        </w:tc>
        <w:tc>
          <w:tcPr>
            <w:tcW w:type="dxa" w:w="1216"/>
            <w:vAlign w:val="top"/>
          </w:tcPr>
          <w:p>
            <w:r>
              <w:rPr>
                <w:sz w:val="12"/>
              </w:rPr>
              <w:t>A2</w:t>
            </w:r>
          </w:p>
        </w:tc>
        <w:tc>
          <w:tcPr>
            <w:tcW w:type="dxa" w:w="1216"/>
            <w:vAlign w:val="top"/>
          </w:tcPr>
          <w:p>
            <w:r>
              <w:rPr>
                <w:sz w:val="12"/>
              </w:rPr>
              <w:t>CORE</w:t>
            </w:r>
          </w:p>
        </w:tc>
        <w:tc>
          <w:tcPr>
            <w:tcW w:type="dxa" w:w="1216"/>
            <w:vAlign w:val="top"/>
          </w:tcPr>
          <w:p>
            <w:r>
              <w:rPr>
                <w:sz w:val="12"/>
              </w:rPr>
              <w:t>Generative AI exposure is associated with more OSS activity without corresponding aggregate working-time increases, making it one of the clearest productivity-as-cost proxies.</w:t>
            </w:r>
          </w:p>
        </w:tc>
        <w:tc>
          <w:tcPr>
            <w:tcW w:type="dxa" w:w="1216"/>
            <w:vAlign w:val="top"/>
          </w:tcPr>
          <w:p>
            <w:r>
              <w:rPr>
                <w:sz w:val="12"/>
              </w:rPr>
              <w:t>About +12% commit frequency; +6% active repositories; work hours; copy-pasted code</w:t>
            </w:r>
          </w:p>
        </w:tc>
        <w:tc>
          <w:tcPr>
            <w:tcW w:type="dxa" w:w="1216"/>
            <w:vAlign w:val="top"/>
          </w:tcPr>
          <w:p>
            <w:r>
              <w:rPr>
                <w:sz w:val="12"/>
              </w:rPr>
              <w:t>Positive productivity proxy</w:t>
            </w:r>
          </w:p>
        </w:tc>
        <w:tc>
          <w:tcPr>
            <w:tcW w:type="dxa" w:w="1216"/>
            <w:vAlign w:val="top"/>
          </w:tcPr>
          <w:p>
            <w:r>
              <w:rPr>
                <w:sz w:val="12"/>
              </w:rPr>
              <w:t>Results / OSS behavioural analysis; pages to verify</w:t>
            </w:r>
          </w:p>
        </w:tc>
        <w:tc>
          <w:tcPr>
            <w:tcW w:type="dxa" w:w="1216"/>
            <w:vAlign w:val="top"/>
          </w:tcPr>
          <w:p>
            <w:r>
              <w:rPr>
                <w:sz w:val="12"/>
              </w:rPr>
              <w:t>Productivity gain as economic proxy</w:t>
            </w:r>
          </w:p>
        </w:tc>
      </w:tr>
    </w:tbl>
    <w:p>
      <w:pPr>
        <w:pStyle w:val="Heading1"/>
      </w:pPr>
      <w:r>
        <w:t>2. Analytical narrative</w:t>
      </w:r>
    </w:p>
    <w:p>
      <w:r>
        <w:t>Direct economic evidence on AI-assisted programming is thin. Most closed-scope papers do not measure formal return on investment, total cost of ownership, or accounting cost. Instead, they report productivity, quality, adoption, coordination, or compute-efficiency measures that can be interpreted only as economic proxies. The strongest positive proxy is activity-based productivity: Li, Costello, Kim and Zhang find that exposure to generative AI in open-source development is associated with about a 12% increase in commit frequency and a 6% increase in active repositories, without a matching increase in aggregate working time [1]. At enterprise scale, Murali and colleagues provide another pragmatic proxy: Meta's CodeCompose reached a 22% acceptance rate and accounted for 8% of authored code, indicating that accepted generated code can become measurable production output rather than only experimental performance [2]. Song and colleagues similarly show that Copilot adoption is associated with more collaborative activity, including higher contributions and participation, but their finding already introduces the central economic caveat: coordination time also increases [3].</w:t>
      </w:r>
    </w:p>
    <w:p>
      <w:r>
        <w:t>The second pattern is that apparent labour saving is often converted into supervision, validation, integration, or coordination work. CREF reports a substantial repair-performance improvement over a GPT-4 baseline in a tutoring context, moving from 52.0% to 76.6% AVG-5 and reporting response-time and labour-cost reductions, but that gain is bounded to a structured repair setting [4]. AutoCodeRover likewise provides a cost-relevant autonomous-repair signal because it resolves 19% of SWE-bench-lite tasks at pass@1 and 26% at pass@3, with low per-task model cost, but most tasks remain unresolved and still require downstream engineering judgement [5]. The strongest warning comes from Cursor evidence: He, Miller, Agarwal, Kästner and Vasilescu show short-term velocity gains accompanied by higher static-analysis warnings and code complexity, which later contribute to velocity slowdown [6]. In economic terms, this means the numerator of ROI cannot be velocity alone; it must discount future remediation and maintainability cost.</w:t>
      </w:r>
    </w:p>
    <w:p>
      <w:r>
        <w:t>Resource use also changes the economic interpretation. SWE-Effi shows that software-agent effectiveness must be assessed under token, call, time and compute constraints; token snowball and expensive failures can make a seemingly capable agent economically unattractive [7]. Matotek and colleagues add a complementary computational-cost trade-off: local LLMs may offer deployment advantages, but if they solve complex programming tasks at roughly half the level of frontier models, lower infrastructure or privacy cost may be offset by lower success and more retries [8]. These studies support a total-cost perspective in which inference cost, failure cost and human review cost belong in the same equation.</w:t>
      </w:r>
    </w:p>
    <w:p>
      <w:r>
        <w:t>The only closed-scope paper that directly frames the question as TCO is Rodríguez's FinTech comparison. It reports lower cost per unit with Copilot than junior-only staffing, a positive ROI of roughly 61%, and a payback period of about 7.4 months [9]. However, it is tier B and peripheral, so it should contextualise the manuscript rather than anchor a strong general claim. Stronger core evidence indicates why such estimates will vary by task and organisation: software-development agents leave many issues unresolved and produce patch-quality variation [10], benchmark gains can be inflated by weak tests or leakage [11], and sustained value depends on perceived usefulness and fit with developer practice [12]. Mixed-methods and survey evidence further suggests that adoption is mediated by organisational compatibility, ethical concerns and perceived efficiency rather than by tool availability alone [13, 14].</w:t>
      </w:r>
    </w:p>
    <w:p>
      <w:r>
        <w:t>Overall, the Economic Impact dimension should therefore be written as a cautious proxy-based claim: AI-assisted programming can reduce marginal effort in bounded settings and can increase observable development activity, but the economic result depends on validation burden, coordination overhead, compute consumption, task type, technology stack, developer experience and adoption depth. The corpus supports productivity-as-economic-proxy claims more strongly than it supports formal ROI or TCO claims.</w:t>
      </w:r>
    </w:p>
    <w:p>
      <w:pPr>
        <w:pStyle w:val="Heading1"/>
      </w:pPr>
      <w:r>
        <w:t>3. Dimension summary</w:t>
      </w:r>
    </w:p>
    <w:p>
      <w:r>
        <w:t>Economic impact is the thinnest of the NB5 dimensions in terms of direct economic measurement. The closed-scope corpus contains only limited formal TCO or ROI evidence, with most findings relying on productivity, acceptance, coordination, validation and compute-efficiency proxies. The manuscript should therefore avoid broad claims that AI-assisted programming reduces cost in general. A defensible claim is narrower: economic value is plausible in bounded tasks and mature deployments, but it is conditional on review burden, quality effects, resource consumption and sustained organisational adoption.</w:t>
      </w:r>
    </w:p>
    <w:p>
      <w:pPr>
        <w:pStyle w:val="Heading1"/>
      </w:pPr>
      <w:r>
        <w:t>4. References</w:t>
      </w:r>
    </w:p>
    <w:p>
      <w:r>
        <w:t>[1] Exploring Altered Open Source Software Development Patterns in a Time of Generative AI. Xinyu Li; Francis Joseph Costello; Keongtae Kim; Xiaoquan (Michael) Zhang, 2025. Bibkey: li_exploring_2025.</w:t>
      </w:r>
    </w:p>
    <w:p>
      <w:r>
        <w:t>[2] AI-Assisted Code Authoring at Scale: Fine-Tuning, Deploying, and Mixed Methods Evaluation. Vijayaraghavan Murali; Chandra Maddila; Imad Ahmad; Michael Bolin; Daniel Cheng; Negar Ghorbani; Renuka Fernandez; Nachiappan Nagappan; Peter C. Rigby, 2024. Bibkey: murali_ai-assisted_2024.</w:t>
      </w:r>
    </w:p>
    <w:p>
      <w:r>
        <w:t>[3] The Impact of Generative AI on Collaborative Open-Source Software Development: Evidence from GitHub Copilot. Song, Fangchen; Agarwal, Ashish; Wen, Wen, 2024. Bibkey: song_impact_2024.</w:t>
      </w:r>
    </w:p>
    <w:p>
      <w:r>
        <w:t>[4] CREF: An LLM-Based Conversational Software Repair Framework for Programming Tutors. Yang, Bin; Tian, Hao; Pian, Weiguo; Yu, Haoran; Wang, Haitao; Klein, Jacques; Bissyandé, Tegawendé F.; Jin, Shiqi, 2024. Bibkey: yang_cref_2024.</w:t>
      </w:r>
    </w:p>
    <w:p>
      <w:r>
        <w:t>[5] AutoCodeRover: Autonomous Program Improvement. Zhang, Yuntong; Ruan, Haifeng; Fan, Zhiyu; Roychoudhury, Abhik, 2024. Bibkey: zhang_autocoderover_2024.</w:t>
      </w:r>
    </w:p>
    <w:p>
      <w:r>
        <w:t>[6] Speed at the Cost of Quality: How Cursor AI Increases Short-Term Velocity and Long-Term Complexity in Open-Source Projects. Hao He; Courtney Miller; Shyam Agarwal; Christian Kästner; Bogdan Vasilescu, 2026. Bibkey: he_speed_2026.</w:t>
      </w:r>
    </w:p>
    <w:p>
      <w:r>
        <w:t>[7] SWE-Effi: Re-Evaluating Software AI Agent System Effectiveness Under Resource Constraints. Zhiyu Fan; Kirill Vasilevski; Dayi Lin; Boyuan Chen; Yihao Chen; Zhiqing Zhong; Jie M. Zhang; Pinjia He; Ahmed E. Hassan, 2025. Bibkey: fan_swe-effi_2025.</w:t>
      </w:r>
    </w:p>
    <w:p>
      <w:r>
        <w:t>[8] Evaluating the Limitations of Local LLMs in Solving Complex Programming Challenges. Kadin Matotek; Heather Cassel; Md Amiruzzaman; Linh B. Ngo, 2025. Bibkey: matotek_evaluating_2025.</w:t>
      </w:r>
    </w:p>
    <w:p>
      <w:r>
        <w:t>[9] Comparative Evaluation of Total Cost of Ownership (TCO) in Software Development for a FinTech Company with Operations in Costa Rica: Junior Human Capital vs. GitHub Copilot. Jonathan Anchía Rodríguez, 2025. Bibkey: rodriguez_comparative_2025.</w:t>
      </w:r>
    </w:p>
    <w:p>
      <w:r>
        <w:t>[10] Evaluating Software Development Agents: Patch Patterns, Code Quality, and Issue Complexity in Real-World GitHub Scenarios. Chen, Zhi; Jiang, Lingxiao, 2024. Bibkey: chen_evaluating_2024.</w:t>
      </w:r>
    </w:p>
    <w:p>
      <w:r>
        <w:t>[11] SWE-Bench+: Enhanced Coding Benchmark for LLMs. Aleithan, Reem; Xue, Haoran; Mohajer, Mohammad Mahdi; Nnorom, Elijah; Uddin, Gias; Wang, Song, 2024. Bibkey: aleithan_swe-bench_2024.</w:t>
      </w:r>
    </w:p>
    <w:p>
      <w:r>
        <w:t>[12] Continuance Use of AI Coding Assistants Among South Korean Industry Developers: A Survey Case Study with Large Language Models. Park, Eunil, 2025. Bibkey: park_continuance_2025.</w:t>
      </w:r>
    </w:p>
    <w:p>
      <w:r>
        <w:t>[13] Human-AI Collaboration in Software Development: A Mixed-Methods Study of Developers' Use of GitHub Copilot and ChatGPT. Stray, Viktoria; Barbala, Astri; Wivestad, Viggo Tellefsen, 2025. Bibkey: stray_human-ai_2025.</w:t>
      </w:r>
    </w:p>
    <w:p>
      <w:r>
        <w:t>[14] Exploring the Impact of Generative Artificial Intelligence on Software Development in the IT Sector: Preliminary Findings on Productivity, Efficiency and Job Security. Bonin, Anton Ludwig; Smolinski, Pawel Robert; Winiarski, Jacek, 2025. Bibkey: bonin_exploring_2025.</w:t>
      </w:r>
    </w:p>
    <w:p>
      <w:pPr>
        <w:pStyle w:val="Heading1"/>
      </w:pPr>
      <w:r>
        <w:t>5. Self-validation log</w:t>
      </w:r>
    </w:p>
    <w:p>
      <w:r>
        <w:t>Closed-scope validation: every inline citation and every reference uses one of the 25 authorised Economic bibkeys. Excluded bibkey ahmad_towards_2023 appears only as an evidence-matrix control row and is not cited. All 25 closed-scope bibkeys were found literally in one of the five BIB files. References use no bibkeys outside the closed scope and contain no empty author/year fields.</w:t>
      </w:r>
    </w:p>
    <w:sectPr w:rsidR="00FC693F" w:rsidRPr="0006063C" w:rsidSect="00034616">
      <w:pgSz w:w="12240" w:h="15840"/>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