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3 — NB5 Small Dimensions: Manuscript-Ready Results Blocks</w:t>
      </w:r>
    </w:p>
    <w:p>
      <w:r>
        <w:t>Manuscript: AI-Assisted Programming in Software Engineering: A Systematic Literature Review and Socio-Technical Perspective</w:t>
      </w:r>
    </w:p>
    <w:p>
      <w:pPr>
        <w:pStyle w:val="Heading1"/>
      </w:pPr>
      <w:r>
        <w:t>Productivity</w:t>
      </w:r>
    </w:p>
    <w:p>
      <w:r>
        <w:t>AI assistance improves productivity most reliably when programming work is local, well specified and readily verifiable, but the corpus does not support a universal acceleration claim. Controlled and benchmark-like studies show substantial generation efficiency: ChatGPT outperformed Stack Overflow on algorithmic and library-use tasks, including reported algorithmic task-score contrasts of 72.0 versus 0.0 and an average of 38.7 versus 5.0 in the relevant table [1]. Complexity then narrows the effect. ChatGPT-3.5 solved 92% of easy, 79% of medium and 51% of hard coding problems in one complexity-stratified evaluation, with prompt engineering improving results but not removing the complexity gradient [2]. A separate difficulty-level study reported complex-problem performance at 4.3%, indicating that decomposition and iteration are part of the work rather than optional refinements [3].</w:t>
      </w:r>
    </w:p>
    <w:p>
      <w:r>
        <w:t>Brownfield and field evidence makes the productivity claim more conditional. In computing-student brownfield tasks, Copilot reduced completion time by 34.9%, increased solution progress by 50%, and reduced manual typing and web search by 10.6% and 11.6%, respectively [4]. This supports a positive productivity mechanism: assistants can lower the cost of producing plausible edits, scaffolding searches and repetitive implementation steps. However, experienced open-source maintainers in a field experiment took 19% longer with AI assistance, despite predicting a 24% speed-up before the task and estimating afterwards that the tool had made them 20% faster [5]. The contradiction is not noise; it marks the difference between local generation and situated software engineering, where repository context, testing, review and integration can dominate raw output speed.</w:t>
      </w:r>
    </w:p>
    <w:p>
      <w:r>
        <w:t>Enterprise evidence reinforces this interpretation. Developers using an enterprise AI code assistant modified outputs and treated checking as a normal part of use, so generated code functioned as a draft requiring human validation rather than as a finished artefact [6]. Across these studies, the relevant productivity unit is therefore not the suggestion, the line of code or even the completed task in isolation. It is the net work required to move from generated candidate to accepted, maintainable project change. Productivity gains are strongest where the generated artefact is easy to inspect and weak where the artefact requires deep contextual reasoning, cross-file consistency, security judgement or domain-specific integration.</w:t>
      </w:r>
    </w:p>
    <w:p>
      <w:r>
        <w:t>The limitation is that productivity studies rarely measure speed, correctness, rework and downstream integration in the same design. Some quantify completion time or task scores, while others observe acceptance, behaviour or perceptions. This makes the evidence strong for conditional acceleration, but weaker for total development productivity across real projects. The most defensible result is that AI assistance increases generation efficiency, while its contribution to net productivity depends on whether verification overhead remains smaller than the saved construction effort.</w:t>
      </w:r>
    </w:p>
    <w:p>
      <w:pPr>
        <w:pStyle w:val="Heading2"/>
      </w:pPr>
      <w:r>
        <w:t>Key quantitative anchors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top"/>
          </w:tcPr>
          <w:p>
            <w:r>
              <w:rPr>
                <w:sz w:val="16"/>
              </w:rPr>
              <w:t>Finding</w:t>
            </w:r>
          </w:p>
        </w:tc>
        <w:tc>
          <w:tcPr>
            <w:tcW w:type="dxa" w:w="1728"/>
            <w:vAlign w:val="top"/>
          </w:tcPr>
          <w:p>
            <w:r>
              <w:rPr>
                <w:sz w:val="16"/>
              </w:rPr>
              <w:t>Bibkey</w:t>
            </w:r>
          </w:p>
        </w:tc>
        <w:tc>
          <w:tcPr>
            <w:tcW w:type="dxa" w:w="1728"/>
            <w:vAlign w:val="top"/>
          </w:tcPr>
          <w:p>
            <w:r>
              <w:rPr>
                <w:sz w:val="16"/>
              </w:rPr>
              <w:t>Source notebook</w:t>
            </w:r>
          </w:p>
        </w:tc>
        <w:tc>
          <w:tcPr>
            <w:tcW w:type="dxa" w:w="1728"/>
            <w:vAlign w:val="top"/>
          </w:tcPr>
          <w:p>
            <w:r>
              <w:rPr>
                <w:sz w:val="16"/>
              </w:rPr>
              <w:t>Tier</w:t>
            </w:r>
          </w:p>
        </w:tc>
        <w:tc>
          <w:tcPr>
            <w:tcW w:type="dxa" w:w="1728"/>
            <w:vAlign w:val="top"/>
          </w:tcPr>
          <w:p>
            <w:r>
              <w:rPr>
                <w:sz w:val="16"/>
              </w:rPr>
              <w:t>Confidence</w:t>
            </w:r>
          </w:p>
        </w:tc>
      </w:tr>
      <w:tr>
        <w:tc>
          <w:tcPr>
            <w:tcW w:type="dxa" w:w="1728"/>
            <w:vAlign w:val="top"/>
          </w:tcPr>
          <w:p>
            <w:r>
              <w:rPr>
                <w:sz w:val="16"/>
              </w:rPr>
              <w:t>ChatGPT produced substantially higher algorithmic task scores than Stack Overflow in the controlled comparison.</w:t>
            </w:r>
          </w:p>
        </w:tc>
        <w:tc>
          <w:tcPr>
            <w:tcW w:type="dxa" w:w="1728"/>
            <w:vAlign w:val="top"/>
          </w:tcPr>
          <w:p>
            <w:r>
              <w:rPr>
                <w:sz w:val="16"/>
              </w:rPr>
              <w:t>liu_chatgpt_2023</w:t>
            </w:r>
          </w:p>
        </w:tc>
        <w:tc>
          <w:tcPr>
            <w:tcW w:type="dxa" w:w="1728"/>
            <w:vAlign w:val="top"/>
          </w:tcPr>
          <w:p>
            <w:r>
              <w:rPr>
                <w:sz w:val="16"/>
              </w:rPr>
              <w:t>NB5</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ChatGPT-3.5 success declined from 92% on easy problems to 51% on hard problems.</w:t>
            </w:r>
          </w:p>
        </w:tc>
        <w:tc>
          <w:tcPr>
            <w:tcW w:type="dxa" w:w="1728"/>
            <w:vAlign w:val="top"/>
          </w:tcPr>
          <w:p>
            <w:r>
              <w:rPr>
                <w:sz w:val="16"/>
              </w:rPr>
              <w:t>li_evaluating_2024</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High</w:t>
            </w:r>
          </w:p>
        </w:tc>
      </w:tr>
      <w:tr>
        <w:tc>
          <w:tcPr>
            <w:tcW w:type="dxa" w:w="1728"/>
            <w:vAlign w:val="top"/>
          </w:tcPr>
          <w:p>
            <w:r>
              <w:rPr>
                <w:sz w:val="16"/>
              </w:rPr>
              <w:t>Complex-problem performance was reported at 4.3%, making task difficulty a major boundary condition.</w:t>
            </w:r>
          </w:p>
        </w:tc>
        <w:tc>
          <w:tcPr>
            <w:tcW w:type="dxa" w:w="1728"/>
            <w:vAlign w:val="top"/>
          </w:tcPr>
          <w:p>
            <w:r>
              <w:rPr>
                <w:sz w:val="16"/>
              </w:rPr>
              <w:t>yan_closer_2023</w:t>
            </w:r>
          </w:p>
        </w:tc>
        <w:tc>
          <w:tcPr>
            <w:tcW w:type="dxa" w:w="1728"/>
            <w:vAlign w:val="top"/>
          </w:tcPr>
          <w:p>
            <w:r>
              <w:rPr>
                <w:sz w:val="16"/>
              </w:rPr>
              <w:t>NB5</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Copilot reduced brownfield completion time by 34.9% and increased solution progress by 50%.</w:t>
            </w:r>
          </w:p>
        </w:tc>
        <w:tc>
          <w:tcPr>
            <w:tcW w:type="dxa" w:w="1728"/>
            <w:vAlign w:val="top"/>
          </w:tcPr>
          <w:p>
            <w:r>
              <w:rPr>
                <w:sz w:val="16"/>
              </w:rPr>
              <w:t>shihab_effects_2025</w:t>
            </w:r>
          </w:p>
        </w:tc>
        <w:tc>
          <w:tcPr>
            <w:tcW w:type="dxa" w:w="1728"/>
            <w:vAlign w:val="top"/>
          </w:tcPr>
          <w:p>
            <w:r>
              <w:rPr>
                <w:sz w:val="16"/>
              </w:rPr>
              <w:t>NB5</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Experienced maintainers took 19% longer with AI assistance despite expecting and perceiving speed gains.</w:t>
            </w:r>
          </w:p>
        </w:tc>
        <w:tc>
          <w:tcPr>
            <w:tcW w:type="dxa" w:w="1728"/>
            <w:vAlign w:val="top"/>
          </w:tcPr>
          <w:p>
            <w:r>
              <w:rPr>
                <w:sz w:val="16"/>
              </w:rPr>
              <w:t>becker_measuring_2025</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High</w:t>
            </w:r>
          </w:p>
        </w:tc>
      </w:tr>
    </w:tbl>
    <w:p>
      <w:r>
        <w:t>Theoretical implication. Productivity links generation efficiency to verification overhead: AI creates value when faster candidate generation is not outweighed by the human effort required to understand, test, correct and integrate the output.</w:t>
      </w:r>
    </w:p>
    <w:p>
      <w:pPr>
        <w:pStyle w:val="Heading1"/>
      </w:pPr>
      <w:r>
        <w:t>Perception and Trust</w:t>
      </w:r>
    </w:p>
    <w:p>
      <w:r>
        <w:t>The perception and trust evidence shows that developers often regard AI coding assistants as useful, but trust is selective, contextual and vulnerable to miscalibration. In a broad developer survey, 84% of 481 respondents reported using AI-based coding assistants, indicating that adoption is already normalised rather than experimental [7]. A separate survey of 207 developers found that 73% perceived productivity improvement from ChatGPT in software development [8]. These results establish perceived usefulness, but they do not by themselves establish dependable software outcomes. Perception evidence becomes meaningful only when read against task difficulty, correctness evidence and security risk.</w:t>
      </w:r>
    </w:p>
    <w:p>
      <w:r>
        <w:t>Task difficulty is the clearest calibration boundary. Kuhail and colleagues reported 73% success on easy problems versus 10% on hard problems across 180 problems and 99 developers, which explains why favourable perceptions are more defensible for routine work than for complex development [9]. Acceptance conditions also matter. Suryavanshi and colleagues found that behavioural intention was associated with use behaviour, with a reported coefficient of β=0.419, and linked acceptance to facilitating conditions, perceived usefulness, perceived ease of use and hedonic motivation [10]. Trust is therefore not a static attitude towards a tool; it is shaped by the local conditions that make use feasible, rewarding and apparently safe.</w:t>
      </w:r>
    </w:p>
    <w:p>
      <w:r>
        <w:t>The strongest caution comes from security and hallucination evidence. Developers report that generative AI can make their code less secure, shifting trust from the generated artefact to inspection and security review [11]. Empirical secure-code assessment also shows uneven LLM performance across languages, so trust cannot be detached from the target language and vulnerability type [12]. Code hallucination evidence further shows that fluent code-like output can contain execution-relevant failures, making over-reliance dangerous when developers treat plausibility as correctness [13]. Trust calibration therefore requires repeated evidence about when the assistant is likely to be correct, not only a general belief that the assistant is helpful.</w:t>
      </w:r>
    </w:p>
    <w:p>
      <w:r>
        <w:t>Qualitative trust evidence makes this dynamic explicit. Developers define, grant, revise and withdraw trust as they observe tool behaviour, task fit and failure modes [14]. The key empirical pattern is thus a perception–reality gap: developers can experience acceleration and convenience while still needing to detect hallucinated dependencies, insecure code, weak reasoning or contextually inappropriate suggestions. The limitation is that many perception studies rely on self-report and are not consistently paired with objective code quality, security or maintenance outcomes. Nevertheless, the combined evidence supports a strong manuscript claim: trustworthy AI-assisted programming is not produced by higher confidence or more frequent use, but by calibrated reliance under explicit evidence of correctness, task difficulty and risk.</w:t>
      </w:r>
    </w:p>
    <w:p>
      <w:pPr>
        <w:pStyle w:val="Heading2"/>
      </w:pPr>
      <w:r>
        <w:t>Key quantitative anchors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top"/>
          </w:tcPr>
          <w:p>
            <w:r>
              <w:rPr>
                <w:sz w:val="16"/>
              </w:rPr>
              <w:t>Finding</w:t>
            </w:r>
          </w:p>
        </w:tc>
        <w:tc>
          <w:tcPr>
            <w:tcW w:type="dxa" w:w="1728"/>
            <w:vAlign w:val="top"/>
          </w:tcPr>
          <w:p>
            <w:r>
              <w:rPr>
                <w:sz w:val="16"/>
              </w:rPr>
              <w:t>Bibkey</w:t>
            </w:r>
          </w:p>
        </w:tc>
        <w:tc>
          <w:tcPr>
            <w:tcW w:type="dxa" w:w="1728"/>
            <w:vAlign w:val="top"/>
          </w:tcPr>
          <w:p>
            <w:r>
              <w:rPr>
                <w:sz w:val="16"/>
              </w:rPr>
              <w:t>Source notebook</w:t>
            </w:r>
          </w:p>
        </w:tc>
        <w:tc>
          <w:tcPr>
            <w:tcW w:type="dxa" w:w="1728"/>
            <w:vAlign w:val="top"/>
          </w:tcPr>
          <w:p>
            <w:r>
              <w:rPr>
                <w:sz w:val="16"/>
              </w:rPr>
              <w:t>Tier</w:t>
            </w:r>
          </w:p>
        </w:tc>
        <w:tc>
          <w:tcPr>
            <w:tcW w:type="dxa" w:w="1728"/>
            <w:vAlign w:val="top"/>
          </w:tcPr>
          <w:p>
            <w:r>
              <w:rPr>
                <w:sz w:val="16"/>
              </w:rPr>
              <w:t>Confidence</w:t>
            </w:r>
          </w:p>
        </w:tc>
      </w:tr>
      <w:tr>
        <w:tc>
          <w:tcPr>
            <w:tcW w:type="dxa" w:w="1728"/>
            <w:vAlign w:val="top"/>
          </w:tcPr>
          <w:p>
            <w:r>
              <w:rPr>
                <w:sz w:val="16"/>
              </w:rPr>
              <w:t>84% of 481 surveyed developers reported using AI-based coding assistants.</w:t>
            </w:r>
          </w:p>
        </w:tc>
        <w:tc>
          <w:tcPr>
            <w:tcW w:type="dxa" w:w="1728"/>
            <w:vAlign w:val="top"/>
          </w:tcPr>
          <w:p>
            <w:r>
              <w:rPr>
                <w:sz w:val="16"/>
              </w:rPr>
              <w:t>sergeyuk_using_2025</w:t>
            </w:r>
          </w:p>
        </w:tc>
        <w:tc>
          <w:tcPr>
            <w:tcW w:type="dxa" w:w="1728"/>
            <w:vAlign w:val="top"/>
          </w:tcPr>
          <w:p>
            <w:r>
              <w:rPr>
                <w:sz w:val="16"/>
              </w:rPr>
              <w:t>NB5</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73% of 207 surveyed developers perceived productivity improvement from ChatGPT.</w:t>
            </w:r>
          </w:p>
        </w:tc>
        <w:tc>
          <w:tcPr>
            <w:tcW w:type="dxa" w:w="1728"/>
            <w:vAlign w:val="top"/>
          </w:tcPr>
          <w:p>
            <w:r>
              <w:rPr>
                <w:sz w:val="16"/>
              </w:rPr>
              <w:t>vaillant_developers_2024</w:t>
            </w:r>
          </w:p>
        </w:tc>
        <w:tc>
          <w:tcPr>
            <w:tcW w:type="dxa" w:w="1728"/>
            <w:vAlign w:val="top"/>
          </w:tcPr>
          <w:p>
            <w:r>
              <w:rPr>
                <w:sz w:val="16"/>
              </w:rPr>
              <w:t>NB5</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Success differed sharply by complexity: 73% on easy problems versus 10% on hard problems.</w:t>
            </w:r>
          </w:p>
        </w:tc>
        <w:tc>
          <w:tcPr>
            <w:tcW w:type="dxa" w:w="1728"/>
            <w:vAlign w:val="top"/>
          </w:tcPr>
          <w:p>
            <w:r>
              <w:rPr>
                <w:sz w:val="16"/>
              </w:rPr>
              <w:t>kuhail_will_2024</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High</w:t>
            </w:r>
          </w:p>
        </w:tc>
      </w:tr>
      <w:tr>
        <w:tc>
          <w:tcPr>
            <w:tcW w:type="dxa" w:w="1728"/>
            <w:vAlign w:val="top"/>
          </w:tcPr>
          <w:p>
            <w:r>
              <w:rPr>
                <w:sz w:val="16"/>
              </w:rPr>
              <w:t>Behavioural intention was associated with use behaviour with β=0.419.</w:t>
            </w:r>
          </w:p>
        </w:tc>
        <w:tc>
          <w:tcPr>
            <w:tcW w:type="dxa" w:w="1728"/>
            <w:vAlign w:val="top"/>
          </w:tcPr>
          <w:p>
            <w:r>
              <w:rPr>
                <w:sz w:val="16"/>
              </w:rPr>
              <w:t>suryavanshi_integrating_2025</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Medium-high</w:t>
            </w:r>
          </w:p>
        </w:tc>
      </w:tr>
      <w:tr>
        <w:tc>
          <w:tcPr>
            <w:tcW w:type="dxa" w:w="1728"/>
            <w:vAlign w:val="top"/>
          </w:tcPr>
          <w:p>
            <w:r>
              <w:rPr>
                <w:sz w:val="16"/>
              </w:rPr>
              <w:t>Secure-code assessment showed uneven performance across programming languages.</w:t>
            </w:r>
          </w:p>
        </w:tc>
        <w:tc>
          <w:tcPr>
            <w:tcW w:type="dxa" w:w="1728"/>
            <w:vAlign w:val="top"/>
          </w:tcPr>
          <w:p>
            <w:r>
              <w:rPr>
                <w:sz w:val="16"/>
              </w:rPr>
              <w:t>dozono_large_2026</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Medium-high</w:t>
            </w:r>
          </w:p>
        </w:tc>
      </w:tr>
    </w:tbl>
    <w:p>
      <w:r>
        <w:t>Theoretical implication. Perception and Trust operationalise trust calibration: developers must transform perceived usefulness into selective reliance by using interaction quality, correctness signals and risk awareness to decide when to accept, revise or reject AI output.</w:t>
      </w:r>
    </w:p>
    <w:p>
      <w:pPr>
        <w:pStyle w:val="Heading1"/>
      </w:pPr>
      <w:r>
        <w:t>Cognitive Load / Human Factors</w:t>
      </w:r>
    </w:p>
    <w:p>
      <w:r>
        <w:t>AI assistance changes the distribution of cognitive work rather than simply reducing it. The strongest behavioural evidence shows that developers spend substantial attention on interacting with and checking AI outputs: Mozannar and colleagues report that 51.5% of interaction time was spent in AI-related activities, with verification alone accounting for 22.4%, and suggestion acceptance around 34% [15]. This finding reframes the assistant as a generator of supervisory work. Developers may write less code manually, but they must read, judge, compare, test and decide whether the generated output is appropriate for the task.</w:t>
      </w:r>
    </w:p>
    <w:p>
      <w:r>
        <w:t>Educational and brownfield evidence supports the same redistribution pattern. In a self-paced CS1 setting, 33 novices produced 1,666 Codex interactions, showing extensive use of generation and explanation to progress through programming tasks [16]. This indicates construction support, but also a need for output interpretation and judgement. In brownfield programming, Qiao and colleagues report a comprehension-performance gap: GenAI assistance can support task completion more than program understanding when developers work with existing code [17]. The practical risk is that apparent completion may mask weak comprehension, reducing the developer’s ability to maintain, adapt or validate the result later.</w:t>
      </w:r>
    </w:p>
    <w:p>
      <w:r>
        <w:t>The student-performance evidence is mixed but converges on metacognitive risk. Rahe and Maalej report that programming students’ frequent code-generation use, direct copying and low accuracy can weaken metacognitive control when use is not accompanied by review responsibility [18]. Jošt and colleagues similarly associate heavier reliance on generation and debugging with lower final performance, suggesting that short-term support may not translate into durable learning when comprehension is bypassed [19]. By contrast, Gardella and colleagues provide a positive counterpoint: novice programmers using AI code generation reported lower perceived workload and performance support [20]. The contrast is important because it shows that cognitive redistribution can be beneficial or harmful depending on whether supervision strengthens or replaces understanding.</w:t>
      </w:r>
    </w:p>
    <w:p>
      <w:r>
        <w:t>Human-factors evidence also extends beyond performance to wellbeing. Practitioner accounts describe both relief from some work and increased mental demand, overload, fatigue or blurred work-life boundaries when expectations and support are misaligned [21]. The limitation is measurement heterogeneity: studies use time allocation, grades, task completion, comprehension, perceived workload, qualitative wellbeing and related constructs, making pooled cognitive-load estimates inappropriate. The manuscript-ready result should therefore be framed as redistribution rather than reduction. AI assistance can lower local construction effort, but it increases supervisory, interpretive and evaluative demands; outcomes depend on whether developers retain enough comprehension to own the code they accept.</w:t>
      </w:r>
    </w:p>
    <w:p>
      <w:pPr>
        <w:pStyle w:val="Heading2"/>
      </w:pPr>
      <w:r>
        <w:t>Key quantitative anchors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top"/>
          </w:tcPr>
          <w:p>
            <w:r>
              <w:rPr>
                <w:sz w:val="16"/>
              </w:rPr>
              <w:t>Finding</w:t>
            </w:r>
          </w:p>
        </w:tc>
        <w:tc>
          <w:tcPr>
            <w:tcW w:type="dxa" w:w="1728"/>
            <w:vAlign w:val="top"/>
          </w:tcPr>
          <w:p>
            <w:r>
              <w:rPr>
                <w:sz w:val="16"/>
              </w:rPr>
              <w:t>Bibkey</w:t>
            </w:r>
          </w:p>
        </w:tc>
        <w:tc>
          <w:tcPr>
            <w:tcW w:type="dxa" w:w="1728"/>
            <w:vAlign w:val="top"/>
          </w:tcPr>
          <w:p>
            <w:r>
              <w:rPr>
                <w:sz w:val="16"/>
              </w:rPr>
              <w:t>Source notebook</w:t>
            </w:r>
          </w:p>
        </w:tc>
        <w:tc>
          <w:tcPr>
            <w:tcW w:type="dxa" w:w="1728"/>
            <w:vAlign w:val="top"/>
          </w:tcPr>
          <w:p>
            <w:r>
              <w:rPr>
                <w:sz w:val="16"/>
              </w:rPr>
              <w:t>Tier</w:t>
            </w:r>
          </w:p>
        </w:tc>
        <w:tc>
          <w:tcPr>
            <w:tcW w:type="dxa" w:w="1728"/>
            <w:vAlign w:val="top"/>
          </w:tcPr>
          <w:p>
            <w:r>
              <w:rPr>
                <w:sz w:val="16"/>
              </w:rPr>
              <w:t>Confidence</w:t>
            </w:r>
          </w:p>
        </w:tc>
      </w:tr>
      <w:tr>
        <w:tc>
          <w:tcPr>
            <w:tcW w:type="dxa" w:w="1728"/>
            <w:vAlign w:val="top"/>
          </w:tcPr>
          <w:p>
            <w:r>
              <w:rPr>
                <w:sz w:val="16"/>
              </w:rPr>
              <w:t>Developers spent 51.5% of interaction time in AI-related activities; verification alone accounted for 22.4%.</w:t>
            </w:r>
          </w:p>
        </w:tc>
        <w:tc>
          <w:tcPr>
            <w:tcW w:type="dxa" w:w="1728"/>
            <w:vAlign w:val="top"/>
          </w:tcPr>
          <w:p>
            <w:r>
              <w:rPr>
                <w:sz w:val="16"/>
              </w:rPr>
              <w:t>mozannar_reading_2024</w:t>
            </w:r>
          </w:p>
        </w:tc>
        <w:tc>
          <w:tcPr>
            <w:tcW w:type="dxa" w:w="1728"/>
            <w:vAlign w:val="top"/>
          </w:tcPr>
          <w:p>
            <w:r>
              <w:rPr>
                <w:sz w:val="16"/>
              </w:rPr>
              <w:t>NB3</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Novices generated 1,666 Codex interactions across 33 students in a self-paced CS1 setting.</w:t>
            </w:r>
          </w:p>
        </w:tc>
        <w:tc>
          <w:tcPr>
            <w:tcW w:type="dxa" w:w="1728"/>
            <w:vAlign w:val="top"/>
          </w:tcPr>
          <w:p>
            <w:r>
              <w:rPr>
                <w:sz w:val="16"/>
              </w:rPr>
              <w:t>kazemitabaar_how_2023</w:t>
            </w:r>
          </w:p>
        </w:tc>
        <w:tc>
          <w:tcPr>
            <w:tcW w:type="dxa" w:w="1728"/>
            <w:vAlign w:val="top"/>
          </w:tcPr>
          <w:p>
            <w:r>
              <w:rPr>
                <w:sz w:val="16"/>
              </w:rPr>
              <w:t>NB5</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Brownfield tasks separated completion from comprehension, exposing a comprehension-performance gap.</w:t>
            </w:r>
          </w:p>
        </w:tc>
        <w:tc>
          <w:tcPr>
            <w:tcW w:type="dxa" w:w="1728"/>
            <w:vAlign w:val="top"/>
          </w:tcPr>
          <w:p>
            <w:r>
              <w:rPr>
                <w:sz w:val="16"/>
              </w:rPr>
              <w:t>qiao_comprehension-performance_2025</w:t>
            </w:r>
          </w:p>
        </w:tc>
        <w:tc>
          <w:tcPr>
            <w:tcW w:type="dxa" w:w="1728"/>
            <w:vAlign w:val="top"/>
          </w:tcPr>
          <w:p>
            <w:r>
              <w:rPr>
                <w:sz w:val="16"/>
              </w:rPr>
              <w:t>NB3</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AI code generation was associated with lower perceived workload and performance support for novice programmers.</w:t>
            </w:r>
          </w:p>
        </w:tc>
        <w:tc>
          <w:tcPr>
            <w:tcW w:type="dxa" w:w="1728"/>
            <w:vAlign w:val="top"/>
          </w:tcPr>
          <w:p>
            <w:r>
              <w:rPr>
                <w:sz w:val="16"/>
              </w:rPr>
              <w:t>gardella_performance_2024</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Medium-high</w:t>
            </w:r>
          </w:p>
        </w:tc>
      </w:tr>
      <w:tr>
        <w:tc>
          <w:tcPr>
            <w:tcW w:type="dxa" w:w="1728"/>
            <w:vAlign w:val="top"/>
          </w:tcPr>
          <w:p>
            <w:r>
              <w:rPr>
                <w:sz w:val="16"/>
              </w:rPr>
              <w:t>Heavier reliance on generation/debugging was associated with lower final performance.</w:t>
            </w:r>
          </w:p>
        </w:tc>
        <w:tc>
          <w:tcPr>
            <w:tcW w:type="dxa" w:w="1728"/>
            <w:vAlign w:val="top"/>
          </w:tcPr>
          <w:p>
            <w:r>
              <w:rPr>
                <w:sz w:val="16"/>
              </w:rPr>
              <w:t>jost_impact_2024</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Medium-high</w:t>
            </w:r>
          </w:p>
        </w:tc>
      </w:tr>
    </w:tbl>
    <w:p>
      <w:r>
        <w:t>Theoretical implication. Cognitive Load / Human Factors instantiate cognitive redistribution: AI shifts effort from initial construction to supervision, verification and decision-making, so benefits depend on whether reduced workload coexists with preserved comprehension and responsible review.</w:t>
      </w:r>
    </w:p>
    <w:p>
      <w:pPr>
        <w:pStyle w:val="Heading1"/>
      </w:pPr>
      <w:r>
        <w:t>Organisational Impact</w:t>
      </w:r>
    </w:p>
    <w:p>
      <w:r>
        <w:t>At organisational scale, AI-assisted programming becomes a workflow, governance and role-reconfiguration issue rather than merely an individual productivity tool. The strongest deployment evidence is CodeCompose at Meta: 16,000 developers used the system, 22% of suggestions were accepted, and approximately 8% of committed changed code was AI-authored [22]. These figures show that AI assistance can become part of production software engineering infrastructure. They also show why organisational interpretation cannot stop at individual speed. Once generated code enters shared repositories, teams must govern prompting practices, disclosure, review standards, monitoring and responsibility for accepted output.</w:t>
      </w:r>
    </w:p>
    <w:p>
      <w:r>
        <w:t>Enterprise case evidence indicates that successful adoption depends on contextual integration. The StackSpot AI case shows that a contextualised assistant required platform integration, repository context and organisational learning loops, rather than a generic chatbot deployment [23]. Research software evidence points in the same direction: generative AI was used across development and maintenance in a research-intensive university, but adoption depended on local norms, reproducibility expectations and institutional support [24]. These studies suggest that interaction quality at organisational level is produced by infrastructure and routines, not by tool availability alone.</w:t>
      </w:r>
    </w:p>
    <w:p>
      <w:r>
        <w:t>Organisational impact also appears in professional roles and capability signals. Recruiter evidence indicates that AI-powered code-generation tools are changing hiring signals, with prompt skill, review judgement and tool fluency becoming part of employability rather than peripheral tool knowledge [25]. Classroom collaboration evidence adds that generative AI can act as a collaborative partner in semester-long pair-programming settings, although outcomes remain contingent on task, partner configuration and use practices [26]. Together, these findings show role reconfiguration: developers are evaluated not only by their ability to write code, but also by their ability to elicit, inspect, adapt and govern AI-generated contributions.</w:t>
      </w:r>
    </w:p>
    <w:p>
      <w:r>
        <w:t>The limitation is that organisational evidence is still concentrated in case studies, deployments, surveys and education-adjacent settings. Longitudinal measurements of governance quality, review burden, accountability failures, maintenance outcomes and organisational learning remain limited. Even so, the evidence is sufficient for a bounded claim: AI assistance scales when organisations embed it into repositories, review routines, competence models and governance practices. Without those structures, the same tools can fragment practice, obscure responsibility and shift verification costs into informal work.</w:t>
      </w:r>
    </w:p>
    <w:p>
      <w:pPr>
        <w:pStyle w:val="Heading2"/>
      </w:pPr>
      <w:r>
        <w:t>Key quantitative anchors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top"/>
          </w:tcPr>
          <w:p>
            <w:r>
              <w:rPr>
                <w:sz w:val="16"/>
              </w:rPr>
              <w:t>Finding</w:t>
            </w:r>
          </w:p>
        </w:tc>
        <w:tc>
          <w:tcPr>
            <w:tcW w:type="dxa" w:w="1728"/>
            <w:vAlign w:val="top"/>
          </w:tcPr>
          <w:p>
            <w:r>
              <w:rPr>
                <w:sz w:val="16"/>
              </w:rPr>
              <w:t>Bibkey</w:t>
            </w:r>
          </w:p>
        </w:tc>
        <w:tc>
          <w:tcPr>
            <w:tcW w:type="dxa" w:w="1728"/>
            <w:vAlign w:val="top"/>
          </w:tcPr>
          <w:p>
            <w:r>
              <w:rPr>
                <w:sz w:val="16"/>
              </w:rPr>
              <w:t>Source notebook</w:t>
            </w:r>
          </w:p>
        </w:tc>
        <w:tc>
          <w:tcPr>
            <w:tcW w:type="dxa" w:w="1728"/>
            <w:vAlign w:val="top"/>
          </w:tcPr>
          <w:p>
            <w:r>
              <w:rPr>
                <w:sz w:val="16"/>
              </w:rPr>
              <w:t>Tier</w:t>
            </w:r>
          </w:p>
        </w:tc>
        <w:tc>
          <w:tcPr>
            <w:tcW w:type="dxa" w:w="1728"/>
            <w:vAlign w:val="top"/>
          </w:tcPr>
          <w:p>
            <w:r>
              <w:rPr>
                <w:sz w:val="16"/>
              </w:rPr>
              <w:t>Confidence</w:t>
            </w:r>
          </w:p>
        </w:tc>
      </w:tr>
      <w:tr>
        <w:tc>
          <w:tcPr>
            <w:tcW w:type="dxa" w:w="1728"/>
            <w:vAlign w:val="top"/>
          </w:tcPr>
          <w:p>
            <w:r>
              <w:rPr>
                <w:sz w:val="16"/>
              </w:rPr>
              <w:t>CodeCompose reached 16,000 developers, 22% suggestion acceptance and about 8% AI-authored changed code.</w:t>
            </w:r>
          </w:p>
        </w:tc>
        <w:tc>
          <w:tcPr>
            <w:tcW w:type="dxa" w:w="1728"/>
            <w:vAlign w:val="top"/>
          </w:tcPr>
          <w:p>
            <w:r>
              <w:rPr>
                <w:sz w:val="16"/>
              </w:rPr>
              <w:t>murali_ai-assisted_2024</w:t>
            </w:r>
          </w:p>
        </w:tc>
        <w:tc>
          <w:tcPr>
            <w:tcW w:type="dxa" w:w="1728"/>
            <w:vAlign w:val="top"/>
          </w:tcPr>
          <w:p>
            <w:r>
              <w:rPr>
                <w:sz w:val="16"/>
              </w:rPr>
              <w:t>NB5</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A contextualised enterprise assistant required platform integration, repository context and organisational learning loops.</w:t>
            </w:r>
          </w:p>
        </w:tc>
        <w:tc>
          <w:tcPr>
            <w:tcW w:type="dxa" w:w="1728"/>
            <w:vAlign w:val="top"/>
          </w:tcPr>
          <w:p>
            <w:r>
              <w:rPr>
                <w:sz w:val="16"/>
              </w:rPr>
              <w:t>pinto_lessons_2024</w:t>
            </w:r>
          </w:p>
        </w:tc>
        <w:tc>
          <w:tcPr>
            <w:tcW w:type="dxa" w:w="1728"/>
            <w:vAlign w:val="top"/>
          </w:tcPr>
          <w:p>
            <w:r>
              <w:rPr>
                <w:sz w:val="16"/>
              </w:rPr>
              <w:t>NB5</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Research software developers used GenAI across development and maintenance, conditioned by norms and institutional support.</w:t>
            </w:r>
          </w:p>
        </w:tc>
        <w:tc>
          <w:tcPr>
            <w:tcW w:type="dxa" w:w="1728"/>
            <w:vAlign w:val="top"/>
          </w:tcPr>
          <w:p>
            <w:r>
              <w:rPr>
                <w:sz w:val="16"/>
              </w:rPr>
              <w:t>besser_how_2026</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Medium-high</w:t>
            </w:r>
          </w:p>
        </w:tc>
      </w:tr>
      <w:tr>
        <w:tc>
          <w:tcPr>
            <w:tcW w:type="dxa" w:w="1728"/>
            <w:vAlign w:val="top"/>
          </w:tcPr>
          <w:p>
            <w:r>
              <w:rPr>
                <w:sz w:val="16"/>
              </w:rPr>
              <w:t>Recruiters reported that prompt skill, review judgement and tool fluency are becoming hiring signals.</w:t>
            </w:r>
          </w:p>
        </w:tc>
        <w:tc>
          <w:tcPr>
            <w:tcW w:type="dxa" w:w="1728"/>
            <w:vAlign w:val="top"/>
          </w:tcPr>
          <w:p>
            <w:r>
              <w:rPr>
                <w:sz w:val="16"/>
              </w:rPr>
              <w:t>chen_impact_2025</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Medium-high</w:t>
            </w:r>
          </w:p>
        </w:tc>
      </w:tr>
      <w:tr>
        <w:tc>
          <w:tcPr>
            <w:tcW w:type="dxa" w:w="1728"/>
            <w:vAlign w:val="top"/>
          </w:tcPr>
          <w:p>
            <w:r>
              <w:rPr>
                <w:sz w:val="16"/>
              </w:rPr>
              <w:t>Semester-long pair programming showed GenAI can act as a collaborative partner under contingent use practices.</w:t>
            </w:r>
          </w:p>
        </w:tc>
        <w:tc>
          <w:tcPr>
            <w:tcW w:type="dxa" w:w="1728"/>
            <w:vAlign w:val="top"/>
          </w:tcPr>
          <w:p>
            <w:r>
              <w:rPr>
                <w:sz w:val="16"/>
              </w:rPr>
              <w:t>lyu_will_2025</w:t>
            </w:r>
          </w:p>
        </w:tc>
        <w:tc>
          <w:tcPr>
            <w:tcW w:type="dxa" w:w="1728"/>
            <w:vAlign w:val="top"/>
          </w:tcPr>
          <w:p>
            <w:r>
              <w:rPr>
                <w:sz w:val="16"/>
              </w:rPr>
              <w:t>NB5</w:t>
            </w:r>
          </w:p>
        </w:tc>
        <w:tc>
          <w:tcPr>
            <w:tcW w:type="dxa" w:w="1728"/>
            <w:vAlign w:val="top"/>
          </w:tcPr>
          <w:p>
            <w:r>
              <w:rPr>
                <w:sz w:val="16"/>
              </w:rPr>
              <w:t>A2</w:t>
            </w:r>
          </w:p>
        </w:tc>
        <w:tc>
          <w:tcPr>
            <w:tcW w:type="dxa" w:w="1728"/>
            <w:vAlign w:val="top"/>
          </w:tcPr>
          <w:p>
            <w:r>
              <w:rPr>
                <w:sz w:val="16"/>
              </w:rPr>
              <w:t>Medium-high</w:t>
            </w:r>
          </w:p>
        </w:tc>
      </w:tr>
    </w:tbl>
    <w:p>
      <w:r>
        <w:t>Theoretical implication. Organisational Impact extends interaction quality and trust calibration from individuals to institutions: repositories, review routines, governance norms and hiring signals determine whether cognitive redistribution becomes shared capability or unmanaged risk.</w:t>
      </w:r>
    </w:p>
    <w:p>
      <w:pPr>
        <w:pStyle w:val="Heading1"/>
      </w:pPr>
      <w:r>
        <w:t>Economic Impact</w:t>
      </w:r>
    </w:p>
    <w:p>
      <w:r>
        <w:t>Direct economic evidence on AI-assisted programming remains thin, and the corpus supports proxy-based economic claims more strongly than formal ROI or total-cost claims. The best production proxy is accepted AI-authored output at scale: CodeCompose at Meta reports 16,000 developers, 22% suggestion acceptance and about 8% AI-authored changed code, indicating potential marginal savings in code authoring but not net economic value by itself [22]. Open-source activity evidence also suggests that generative AI exposure can alter development patterns, but activity is not the same as profitability, maintainability or reduced total cost [27].</w:t>
      </w:r>
    </w:p>
    <w:p>
      <w:r>
        <w:t>The hidden-cost evidence is more concrete. Smart-contract generation can produce compilable outputs while still requiring validity, correctness, security and maintainability checks, converting apparent automation into validation labour [28]. In simple bug-fixing tasks, generated changes can increase repair burden, with reports of up to twice as many bugs as fixes unless prompts are constrained [29]. Software-development agents also leave substantial residual work: one evaluation reported 170 issues unresolved by all agents, alongside variation in patch patterns and quality [30]. These findings imply that economic value depends on the cost of checking and remediation, not only on the speed of generation.</w:t>
      </w:r>
    </w:p>
    <w:p>
      <w:r>
        <w:t>Other proxies reinforce the same caution. AI coding proficiency varies sharply by technology stack, including reported differences of up to 84% between similar libraries and an 11.17% competitor-pair gap, so expected value depends on stack choice and project context [31]. Benchmark-based economic claims are also fragile when resolve rates are inflated by weak tests or leakage [32]. One FinTech TCO comparison reports lower unit cost with Copilot than junior-only staffing, roughly 61% ROI and a payback period of about 7.4 months, but it is tier B and peripheral, so it should contextualise rather than anchor a general claim [33]. The defensible economic result is therefore cautious: AI assistance can reduce marginal effort in bounded settings, but net value depends on validation burden, unresolved work, compute and token costs, technology stack, developer expertise, governance and adoption depth.</w:t>
      </w:r>
    </w:p>
    <w:p>
      <w:pPr>
        <w:pStyle w:val="Heading2"/>
      </w:pPr>
      <w:r>
        <w:t>Key quantitative anchors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top"/>
          </w:tcPr>
          <w:p>
            <w:r>
              <w:rPr>
                <w:sz w:val="16"/>
              </w:rPr>
              <w:t>Finding</w:t>
            </w:r>
          </w:p>
        </w:tc>
        <w:tc>
          <w:tcPr>
            <w:tcW w:type="dxa" w:w="1728"/>
            <w:vAlign w:val="top"/>
          </w:tcPr>
          <w:p>
            <w:r>
              <w:rPr>
                <w:sz w:val="16"/>
              </w:rPr>
              <w:t>Bibkey</w:t>
            </w:r>
          </w:p>
        </w:tc>
        <w:tc>
          <w:tcPr>
            <w:tcW w:type="dxa" w:w="1728"/>
            <w:vAlign w:val="top"/>
          </w:tcPr>
          <w:p>
            <w:r>
              <w:rPr>
                <w:sz w:val="16"/>
              </w:rPr>
              <w:t>Source notebook</w:t>
            </w:r>
          </w:p>
        </w:tc>
        <w:tc>
          <w:tcPr>
            <w:tcW w:type="dxa" w:w="1728"/>
            <w:vAlign w:val="top"/>
          </w:tcPr>
          <w:p>
            <w:r>
              <w:rPr>
                <w:sz w:val="16"/>
              </w:rPr>
              <w:t>Tier</w:t>
            </w:r>
          </w:p>
        </w:tc>
        <w:tc>
          <w:tcPr>
            <w:tcW w:type="dxa" w:w="1728"/>
            <w:vAlign w:val="top"/>
          </w:tcPr>
          <w:p>
            <w:r>
              <w:rPr>
                <w:sz w:val="16"/>
              </w:rPr>
              <w:t>Confidence</w:t>
            </w:r>
          </w:p>
        </w:tc>
      </w:tr>
      <w:tr>
        <w:tc>
          <w:tcPr>
            <w:tcW w:type="dxa" w:w="1728"/>
            <w:vAlign w:val="top"/>
          </w:tcPr>
          <w:p>
            <w:r>
              <w:rPr>
                <w:sz w:val="16"/>
              </w:rPr>
              <w:t>CodeCompose reported 16,000 developers, 22% suggestion acceptance and about 8% AI-authored changed code.</w:t>
            </w:r>
          </w:p>
        </w:tc>
        <w:tc>
          <w:tcPr>
            <w:tcW w:type="dxa" w:w="1728"/>
            <w:vAlign w:val="top"/>
          </w:tcPr>
          <w:p>
            <w:r>
              <w:rPr>
                <w:sz w:val="16"/>
              </w:rPr>
              <w:t>murali_ai-assisted_2024</w:t>
            </w:r>
          </w:p>
        </w:tc>
        <w:tc>
          <w:tcPr>
            <w:tcW w:type="dxa" w:w="1728"/>
            <w:vAlign w:val="top"/>
          </w:tcPr>
          <w:p>
            <w:r>
              <w:rPr>
                <w:sz w:val="16"/>
              </w:rPr>
              <w:t>NB5</w:t>
            </w:r>
          </w:p>
        </w:tc>
        <w:tc>
          <w:tcPr>
            <w:tcW w:type="dxa" w:w="1728"/>
            <w:vAlign w:val="top"/>
          </w:tcPr>
          <w:p>
            <w:r>
              <w:rPr>
                <w:sz w:val="16"/>
              </w:rPr>
              <w:t>A1</w:t>
            </w:r>
          </w:p>
        </w:tc>
        <w:tc>
          <w:tcPr>
            <w:tcW w:type="dxa" w:w="1728"/>
            <w:vAlign w:val="top"/>
          </w:tcPr>
          <w:p>
            <w:r>
              <w:rPr>
                <w:sz w:val="16"/>
              </w:rPr>
              <w:t>Medium-high</w:t>
            </w:r>
          </w:p>
        </w:tc>
      </w:tr>
      <w:tr>
        <w:tc>
          <w:tcPr>
            <w:tcW w:type="dxa" w:w="1728"/>
            <w:vAlign w:val="top"/>
          </w:tcPr>
          <w:p>
            <w:r>
              <w:rPr>
                <w:sz w:val="16"/>
              </w:rPr>
              <w:t>Smart-contract outputs required validity, correctness, security and maintainability checks.</w:t>
            </w:r>
          </w:p>
        </w:tc>
        <w:tc>
          <w:tcPr>
            <w:tcW w:type="dxa" w:w="1728"/>
            <w:vAlign w:val="top"/>
          </w:tcPr>
          <w:p>
            <w:r>
              <w:rPr>
                <w:sz w:val="16"/>
              </w:rPr>
              <w:t>karanjai_who_2023</w:t>
            </w:r>
          </w:p>
        </w:tc>
        <w:tc>
          <w:tcPr>
            <w:tcW w:type="dxa" w:w="1728"/>
            <w:vAlign w:val="top"/>
          </w:tcPr>
          <w:p>
            <w:r>
              <w:rPr>
                <w:sz w:val="16"/>
              </w:rPr>
              <w:t>NB1</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Generated bug-fix changes included up to twice as many bugs as fixes unless prompts were constrained.</w:t>
            </w:r>
          </w:p>
        </w:tc>
        <w:tc>
          <w:tcPr>
            <w:tcW w:type="dxa" w:w="1728"/>
            <w:vAlign w:val="top"/>
          </w:tcPr>
          <w:p>
            <w:r>
              <w:rPr>
                <w:sz w:val="16"/>
              </w:rPr>
              <w:t>jesse_large_2023</w:t>
            </w:r>
          </w:p>
        </w:tc>
        <w:tc>
          <w:tcPr>
            <w:tcW w:type="dxa" w:w="1728"/>
            <w:vAlign w:val="top"/>
          </w:tcPr>
          <w:p>
            <w:r>
              <w:rPr>
                <w:sz w:val="16"/>
              </w:rPr>
              <w:t>NB2</w:t>
            </w:r>
          </w:p>
        </w:tc>
        <w:tc>
          <w:tcPr>
            <w:tcW w:type="dxa" w:w="1728"/>
            <w:vAlign w:val="top"/>
          </w:tcPr>
          <w:p>
            <w:r>
              <w:rPr>
                <w:sz w:val="16"/>
              </w:rPr>
              <w:t>A2</w:t>
            </w:r>
          </w:p>
        </w:tc>
        <w:tc>
          <w:tcPr>
            <w:tcW w:type="dxa" w:w="1728"/>
            <w:vAlign w:val="top"/>
          </w:tcPr>
          <w:p>
            <w:r>
              <w:rPr>
                <w:sz w:val="16"/>
              </w:rPr>
              <w:t>Medium-high</w:t>
            </w:r>
          </w:p>
        </w:tc>
      </w:tr>
      <w:tr>
        <w:tc>
          <w:tcPr>
            <w:tcW w:type="dxa" w:w="1728"/>
            <w:vAlign w:val="top"/>
          </w:tcPr>
          <w:p>
            <w:r>
              <w:rPr>
                <w:sz w:val="16"/>
              </w:rPr>
              <w:t>Software-development agents left 170 issues unresolved by all agents in a real-world GitHub evaluation.</w:t>
            </w:r>
          </w:p>
        </w:tc>
        <w:tc>
          <w:tcPr>
            <w:tcW w:type="dxa" w:w="1728"/>
            <w:vAlign w:val="top"/>
          </w:tcPr>
          <w:p>
            <w:r>
              <w:rPr>
                <w:sz w:val="16"/>
              </w:rPr>
              <w:t>chen_evaluating_2024</w:t>
            </w:r>
          </w:p>
        </w:tc>
        <w:tc>
          <w:tcPr>
            <w:tcW w:type="dxa" w:w="1728"/>
            <w:vAlign w:val="top"/>
          </w:tcPr>
          <w:p>
            <w:r>
              <w:rPr>
                <w:sz w:val="16"/>
              </w:rPr>
              <w:t>NB1</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AI coding proficiency differed by up to 84% between similar libraries.</w:t>
            </w:r>
          </w:p>
        </w:tc>
        <w:tc>
          <w:tcPr>
            <w:tcW w:type="dxa" w:w="1728"/>
            <w:vAlign w:val="top"/>
          </w:tcPr>
          <w:p>
            <w:r>
              <w:rPr>
                <w:sz w:val="16"/>
              </w:rPr>
              <w:t>zhang_rethinking_2025</w:t>
            </w:r>
          </w:p>
        </w:tc>
        <w:tc>
          <w:tcPr>
            <w:tcW w:type="dxa" w:w="1728"/>
            <w:vAlign w:val="top"/>
          </w:tcPr>
          <w:p>
            <w:r>
              <w:rPr>
                <w:sz w:val="16"/>
              </w:rPr>
              <w:t>NB1</w:t>
            </w:r>
          </w:p>
        </w:tc>
        <w:tc>
          <w:tcPr>
            <w:tcW w:type="dxa" w:w="1728"/>
            <w:vAlign w:val="top"/>
          </w:tcPr>
          <w:p>
            <w:r>
              <w:rPr>
                <w:sz w:val="16"/>
              </w:rPr>
              <w:t>A1</w:t>
            </w:r>
          </w:p>
        </w:tc>
        <w:tc>
          <w:tcPr>
            <w:tcW w:type="dxa" w:w="1728"/>
            <w:vAlign w:val="top"/>
          </w:tcPr>
          <w:p>
            <w:r>
              <w:rPr>
                <w:sz w:val="16"/>
              </w:rPr>
              <w:t>High</w:t>
            </w:r>
          </w:p>
        </w:tc>
      </w:tr>
      <w:tr>
        <w:tc>
          <w:tcPr>
            <w:tcW w:type="dxa" w:w="1728"/>
            <w:vAlign w:val="top"/>
          </w:tcPr>
          <w:p>
            <w:r>
              <w:rPr>
                <w:sz w:val="16"/>
              </w:rPr>
              <w:t>A peripheral TCO comparison reported about 61% ROI and 7.4-month payback for Copilot.</w:t>
            </w:r>
          </w:p>
        </w:tc>
        <w:tc>
          <w:tcPr>
            <w:tcW w:type="dxa" w:w="1728"/>
            <w:vAlign w:val="top"/>
          </w:tcPr>
          <w:p>
            <w:r>
              <w:rPr>
                <w:sz w:val="16"/>
              </w:rPr>
              <w:t>rodriguez_comparative_2025</w:t>
            </w:r>
          </w:p>
        </w:tc>
        <w:tc>
          <w:tcPr>
            <w:tcW w:type="dxa" w:w="1728"/>
            <w:vAlign w:val="top"/>
          </w:tcPr>
          <w:p>
            <w:r>
              <w:rPr>
                <w:sz w:val="16"/>
              </w:rPr>
              <w:t>NB5</w:t>
            </w:r>
          </w:p>
        </w:tc>
        <w:tc>
          <w:tcPr>
            <w:tcW w:type="dxa" w:w="1728"/>
            <w:vAlign w:val="top"/>
          </w:tcPr>
          <w:p>
            <w:r>
              <w:rPr>
                <w:sz w:val="16"/>
              </w:rPr>
              <w:t>B</w:t>
            </w:r>
          </w:p>
        </w:tc>
        <w:tc>
          <w:tcPr>
            <w:tcW w:type="dxa" w:w="1728"/>
            <w:vAlign w:val="top"/>
          </w:tcPr>
          <w:p>
            <w:r>
              <w:rPr>
                <w:sz w:val="16"/>
              </w:rPr>
              <w:t>Low-medium</w:t>
            </w:r>
          </w:p>
        </w:tc>
      </w:tr>
    </w:tbl>
    <w:p>
      <w:r>
        <w:t>Theoretical implication. Economic Impact is the aggregate expression of generation efficiency, verification overhead and trust calibration: savings become credible only when productivity proxies include validation, unresolved work, remediation and governance costs.</w:t>
      </w:r>
    </w:p>
    <w:p>
      <w:pPr>
        <w:pStyle w:val="Heading1"/>
      </w:pPr>
      <w:r>
        <w:t>Combined limitations</w:t>
      </w:r>
    </w:p>
    <w:p>
      <w:r>
        <w:t>The five smaller dimensions are uneven and methodologically heterogeneous. Productivity evidence measures time, task scores, suggestion acceptance and issue progress, while perception and trust rely heavily on surveys and interviews. Cognitive-load evidence mixes time allocation, comprehension, grades, perceived workload and qualitative wellbeing. Organisational evidence is concentrated in deployments, case studies and education-adjacent settings, with limited longitudinal governance measurement. Economic evidence is the thinnest: most studies provide proxies such as accepted generated code, activity, repair performance or unresolved issues rather than formal ROI, TCO, compute cost or maintenance-cost accounting. These gaps mean the synthesis can support conditional socio-technical claims, but not a pooled effect size or a universal estimate of AI-assisted programming value.</w:t>
      </w:r>
    </w:p>
    <w:p>
      <w:pPr>
        <w:pStyle w:val="Heading1"/>
      </w:pPr>
      <w:r>
        <w:t>References</w:t>
      </w:r>
    </w:p>
    <w:p>
      <w:r>
        <w:t>[1] [2] [3]. In brownfield work, Shihab et al. add behavioural evidence that Copilot can reduce completion time and manual search while increasing solution progress [5]. These findings justify generation efficiency as the first construct: AI-assisted programming begins by lowering the cost of generating plausible artefacts. However, the same evidence also shows that generation efficiency is structurally accompanied by verification overhead. Becker et al. found that experienced maintainers expected faster completion but actually took longer when AI assistance was available, showing that real repositories add context, testing and integration work that benchmarks do not fully capture [4]. Weisz et al. similarly report that enterprise users modified outputs and described checking as part of use, indicating that generated artefacts are not finished work products [6]. The productivity dimension therefore does not support a simple “AI equals faster development” proposition. It supports a conditional claim: generation efficiency becomes productivity only when the cost of validating, correcting and integrating generated output remains below the time saved in producing it. Perception and Trust evidence explains why this conversion from efficiency to value is socio-technical rather than mechanical. Developers often perceive AI assistants as useful: Sergeyuk et al. report widespread use among surveyed developers, and Vaillant et al. report strong perceived productivity improvement [7] [8]. Yet these perceptions are bounded by task complexity, risk and experience. Kuhail et al. show that favourable perception is more defensible for easier tasks than for hard problems, while Sabouri et al. characterise trust as dynamic, contextual and revisable [9] [10]. This grounds trust calibration as the mechanism that determines whether efficiency becomes value. When developers trust too little, useful suggestions are ignored and interaction becomes inefficient. When they trust too much, fluent but incorrect output can bypass review. The security-oriented trust evidence sharpens this point. Kudriavtseva et al. show that developers perceive generative AI as a possible source of security risk, and Dozono et al. show uneven performance in secure-code assessment [11] [12]. Trust calibration is therefore not only an attitude, it is a practical control process. It governs when developers accept, test, rewrite, escalate or reject generated code. This construct connects perception to verification overhead: calibrated trust reduces unnecessary checking for low-risk artefacts, but preserves scrutiny where task difficulty, security sensitivity or unfamiliarity makes failure costly. Cognitive Load evidence identifies the observable human consequence of this equilibrium: cognitive redistribution. The central finding is not that AI simply reduces mental effort. Instead, AI assistance reallocates effort from writing code to supervising an interactive system. Mozannar et al. report that developers spent a substantial share of interaction time in AI-related activities and verification, showing that attention moves towards reading, judging and deciding [13]. Kazemitabaar et al. show that novices used Codex extensively to progress through programming tasks, which indicates assistance in construction but also dependence on interaction and interpretation [15]. Rahe et al. add a cautionary student signal: frequent code-generation use, low accuracy and direct copying can weaken metacognitive control rather than strengthen learning [16]. The cognitive dimension therefore mediates between productivity and trust. Qiao et al. report a separation between completion and comprehension in brownfield programming, while Jost et al. associate heavier reliance on generation and debugging with lower final performance [14] [18]. Gardella et al. provide a more positive counterpoint by associating AI code generation with lower perceived workload and performance support [17]. Taken together, these studies imply that AI-assisted programming can reduce local construction load while increasing supervisory load. Whether this redistribution is beneficial depends on whether developers retain enough comprehension to validate, adapt and own the result. Organisational Impact evidence extends the equilibrium beyond individuals. At Meta, CodeCompose reached production scale with 16,000 developers, 22% suggestion acceptance and 8% of changed code authored by the assistant, making AI assistance an organisational workflow artefact rather than an isolated tool [19]. Pinto et al. show that a contextualised enterprise assistant requires integration with repositories, platforms and organisational learning loops [20]. Besser et al. similarly show that research software developers use generative AI across development and maintenance, but local norms and integration practices condition adoption [21]. These findings ground interaction quality and trust calibration at team level: prompts, reviews, disclosure practices, coding standards and governance routines become shared infrastructure. The organisational evidence also shows role reconfiguration. Chen et al. report that AI coding tools are changing hiring signals, with prompt skill, review judgement and tool fluency becoming more salient [22]. Lyu et al. show that generative AI can operate as a collaborative partner in semester-long pair-programming settings, but outcomes remain contingent on task, partner configuration and use practices [23]. Thus, equilibrium is institutional: teams must decide who may use AI, how outputs are disclosed, how reviews are conducted, and which capabilities become part of professional competence. Economic Impact evidence is thinner but theoretically important because it reveals a cost dimension hidden by productivity metrics. Murali et al.’s accepted-code evidence can be read as an output proxy, but cost cannot be inferred from accepted lines alone [19]. Karanjai et al. show that smart-contract generation can produce compilable outputs while still requiring checks for validity, correctness, security and maintainability [24]. Jesse et al. show that, in simple bug-fixing tasks, generated changes can increase repair burden by producing more bugs than fixes under some conditions [25]. Economic value therefore depends on the balance between marginal generation savings and the human, organisational and technical cost of making outputs safe, correct and maintainable. Other economic proxies reinforce this caution. Chen et al. show that software-development agents leave many issues unresolved and vary in patch quality, Zhang et al. show large technology-stack differences in AI coding proficiency, and Aleithan et al. warn that benchmark improvements can be inflated by weak tests or leakage [26] [27] [28]. Stray et al. further indicate that adoption value depends on fit, ethical concerns and developer practice rather than tool availability alone [29]. The economic construct is therefore not an independent downstream outcome, it is the aggregate expression of the whole socio-technical equilibrium. Productivity gains, trust calibration, cognitive redistribution and organisational governance all determine whether AI assistance creates net value or merely shifts cost into less visible forms. 3. Theoretical propositions • Productivity: If AI assistance is applied to local, well-specified and testable programming tasks, then completion speed and solution progress will improve, because generation efficiency exceeds the additional verification overhead. • Perception and Trust: If developers receive repeated, task-relevant evidence about AI correctness limits, then trust will become more selective and outcomes will improve, because developers will calibrate reliance to task difficulty and risk. • Cognitive Load / Human Factors: If AI assistance is used without preserving comprehension and review responsibility, then apparent task completion will improve less than durable performance, because cognitive effort is redistributed from construction to supervision and may weaken metacognitive monitoring. • Organisational Impact: If organisations embed AI assistance in repositories, review routines and governance practices, then AI use will scale more reliably across teams, because interaction quality and trust calibration become shared organisational routines rather than individual improvisation. • Economic Impact: If productivity accounting includes validation, unresolved tasks, security checking, stack variation and benchmark reliability, then estimated ROI will be lower and more variable than raw generation metrics suggest, because hidden verification and remediation costs offset marginal generation savings. 4. Cross-dimensional gap analysis The five small dimensions expose three cross-cutting evidence gaps. First, the dimensions are methodologically difficult to combine. Productivity studies often measure time, task scores, accepted suggestions or issue resolution, perception studies rely heavily on surveys and interviews, cognitive-load studies mix time allocation, NASA-TLX, grades, comprehension and wellbeing, organisational studies emphasise deployments and cases, and economic studies mostly use proxies rather than formal cost accounting. This makes cross-dimensional synthesis defensible at the construct level, but not as a single pooled effect size. Second, evidence is uneven. Productivity, trust and cognitive redistribution have multiple A1/A2 anchors, whereas direct economic evidence remains thin and often depends on activity, accepted-code or repair-performance proxies. Third, contradictions are substantively important rather than accidental: the same assistant can accelerate local tasks, slow experienced maintainers in real repositories, increase perceived productivity, and still create verification, security or comprehension burdens. These contradictions should feed directly into Threats to Validity. They show that the manuscript should avoid universal claims about AI-assisted programming and instead frame findings as conditional on task complexity, developer experience, validation infrastructure, organisational governance and the visibility of hidden costs. 5. References [1] ChatGPT vs. Stack Overflow: An Exploratory Comparison of Programming Assistance Tools. Liu, Jinrun, Tang, Xinyu, Li, Linlin, Chen, Panpan, Liu, Yepang, 2023. Bibkey: liu_chatgpt_2023.</w:t>
      </w:r>
    </w:p>
    <w:p>
      <w:r>
        <w:t>[2] Evaluating ChatGPT-3. 5 Efficiency in Solving Coding Problems of Different Complexity Levels: An Empirical Analysis. Li, Minda, Krishnamachari, Bhaskar, 2024. Bibkey: li_evaluating_2024.</w:t>
      </w:r>
    </w:p>
    <w:p>
      <w:r>
        <w:t>[3] A Closer Look at Different Difficulty Levels Code Generation Abilities of ChatGPT. Yan, Dapeng, Gao, Zhipeng, Liu, Zhiming, 2023. Bibkey: yan_closer_2023.</w:t>
      </w:r>
    </w:p>
    <w:p>
      <w:r>
        <w:t>[4] The Effects of GitHub Copilot on Computing Students' Programming Effectiveness, Efficiency, and Processes in Brownfield Coding Tasks. Shihab, Md Istiak Hossain, Hundhausen, Christopher, Tariq, Ahsun, Haque, Summit, Qiao, Yunhan, Mulanda, Brian Wise, 2025. Bibkey: shihab_effects_2025.</w:t>
      </w:r>
    </w:p>
    <w:p>
      <w:r>
        <w:t>[5] Measuring the Impact of Early-2025 AI on Experienced Open-Source Developer Productivity. Becker, Joel, Rush, Nate, Barnes, Elizabeth, Rein, David, 2025. Bibkey: becker_measuring_2025.</w:t>
      </w:r>
    </w:p>
    <w:p>
      <w:r>
        <w:t>[6] Examining the Use and Impact of an AI Code Assistant on Developer Productivity and Experience in the Enterprise. Weisz, Justin D., Kumar, Shraddha Vijay, Muller, Michael, Browne, Karen-Ellen, Goldberg, Arielle, Heintze, Katrin Ellice, Bajpai, Shagun, 2025. Bibkey: weisz_examining_2025.</w:t>
      </w:r>
    </w:p>
    <w:p>
      <w:r>
        <w:t>[7] Using AI-Based Coding Assistants in Practice: State of Affairs, Perceptions, and Ways Forward. Sergeyuk, Agnia, Golubev, Yaroslav, Bryksin, Timofey, Ahmed, Iftekhar, 2025. Bibkey: sergeyuk_using_2025.</w:t>
      </w:r>
    </w:p>
    <w:p>
      <w:r>
        <w:t>[8] Developers' Perceptions on the Impact of ChatGPT in Software Development: A Survey. Vaillant, Thiago S., Almeida, Felipe Deveza de, Neto, Paulo Anselmo M. S., Gao, Cuiyun, Bosch, Jan, Almeida, Eduardo Santana de, 2024. Bibkey: vaillant_developers_2024.</w:t>
      </w:r>
    </w:p>
    <w:p>
      <w:r>
        <w:t>[9] “Will I be replaced?” Assessing ChatGPT's effect on software development and programmer perceptions of AI tools. Kuhail, Mohammad Amin, Mathew, Sujith Samuel, Khalil, Ashraf, Berengueres, Jose, Shah, Syed Jawad Hussain, 2024. Bibkey: kuhail_will_2024.</w:t>
      </w:r>
    </w:p>
    <w:p>
      <w:r>
        <w:t>[10] Integrating ChatGPT into Software Development: Valuating Acceptance and Utilisation Among Developers. Suryavanshi, Prathmesh, Kapse, Manohar, Sharma, Vinod, 2025. Bibkey: suryavanshi_integrating_2025.</w:t>
      </w:r>
    </w:p>
    <w:p>
      <w:r>
        <w:t>[11] My Code Is Less Secure with Gen AI: Surveying Developers' Perceptions of the Impact of Code Generation Tools on Security. Kudriavtseva, Arina, Hotak, Nisar Ahmad, Gadyatskaya, Olga, 2025. Bibkey: kudriavtseva_my_2025.</w:t>
      </w:r>
    </w:p>
    <w:p>
      <w:r>
        <w:t>[12] Large Language Models for Secure Code Assessment: A Multi-Language Empirical Study. Dozono, Kohei, Gasiba, Tiago Espinha, Stocco, Andrea, 2026. Bibkey: dozono_large_2026.</w:t>
      </w:r>
    </w:p>
    <w:p>
      <w:r>
        <w:t>[13] CodeHalu: Investigating Code Hallucinations in LLMs via Execution-based Verification. Tian, Yuchen, Yan, Weixiang, Yang, Qian, Zhao, Xuandong, Chen, Qian, Wang, Wen, Luo, Ziyang, Ma, Lei, Song, Dawn, 2025. Bibkey: tian_codehalu_2025.</w:t>
      </w:r>
    </w:p>
    <w:p>
      <w:r>
        <w:t>[14] Trust Dynamics in AI-Assisted Development: Definitions, Factors, and Implications. Sabouri, Sandra, Eibl, Philipp, Zhou, Xinyi, Ziyadi, Morteza, Medvidovic, Nenad, Lindemann, Lars, Chattopadhyay, Souti, 2025. Bibkey: sabouri_trust_2025.</w:t>
      </w:r>
    </w:p>
    <w:p>
      <w:r>
        <w:t>[15] Reading Between the Lines: Modeling User Behavior and Costs in AI-Assisted Programming. Mozannar, Hussein, Bansal, Gagan, Fourney, Adam, Horvitz, Eric, 2024. Bibkey: mozannar_reading_2024.</w:t>
      </w:r>
    </w:p>
    <w:p>
      <w:r>
        <w:t>[16] How Novices Use LLM-based Code Generators to Solve CS1 Coding Tasks in a Self-Paced Learning Environment. Kazemitabaar, Majeed, Hou, Xinying, Henley, A., Ericson, Barb, Weintrop, David, Grossman, Tovi, 2023. Bibkey: kazemitabaar_how_2023.</w:t>
      </w:r>
    </w:p>
    <w:p>
      <w:r>
        <w:t>[17] Comprehension-Performance Gap in GenAI-Assisted Brownfield Programming: A Replication and Extension. Qiao, Yunhan, Hundhausen, Christopher, Haque, Summit, Shihab, Md Istiak Hossain, 2025. Bibkey: qiao_comprehension-performance_2025.</w:t>
      </w:r>
    </w:p>
    <w:p>
      <w:r>
        <w:t>[18] How Do Programming Students Use Generative AI?. Rahe, Christian, Maalej, Walid, 2025. Bibkey: rahe_how_2025.</w:t>
      </w:r>
    </w:p>
    <w:p>
      <w:r>
        <w:t>[19] The Impact of Large Language Models on Programming Education and Student Learning Outcomes. Jošt, Gregor, Taneski, Viktor, Karakatič, Sašo, 2024. Bibkey: jost_impact_2024.</w:t>
      </w:r>
    </w:p>
    <w:p>
      <w:r>
        <w:t>[20] Performance, Workload, Emotion, and Self-Efficacy of Novice Programmers Using AI Code Generation. Gardella, Nicholas, Pettit, Raymond, Riggs, Sara L., 2024. Bibkey: gardella_performance_2024.</w:t>
      </w:r>
    </w:p>
    <w:p>
      <w:r>
        <w:t>[21] Investigating the Impact of AI-Assisted Tools on Software Practitioner Well-Being. Meem, Fairuz Nawer; Johnson, Brittany, 2025. Bibkey: meem_investigating_2025.</w:t>
      </w:r>
    </w:p>
    <w:p>
      <w:r>
        <w:t>[22] AI-Assisted Code Authoring at Scale: Fine-Tuning, Deploying, and Mixed Methods Evaluation. Murali, Vijayaraghavan, Maddila, Chandra, Ahmad, Imad, Bolin, Michael, Cheng, Daniel, Ghorbani, Negar, Fernandez, Renuka, Nagappan, Nachiappan, Rigby, Peter C., 2024. Bibkey: murali_ai-assisted_2024.</w:t>
      </w:r>
    </w:p>
    <w:p>
      <w:r>
        <w:t>[23] Lessons from Building StackSpot Al: A Contextualized AI Coding Assistant. Pinto, Gustavo, De Souza, Cleidson R. B., Neto, João Batista, De Souza, Alberto, Gotto, Tarcísio, Monteiro, Edward, 2024. Bibkey: pinto_lessons_2024.</w:t>
      </w:r>
    </w:p>
    <w:p>
      <w:r>
        <w:t>[24] How Generative AI is Shaping Research Software Development and Maintenance at a Research-Intensive University. Besser, Stephanie A., Jensen, Eric A., Katz, Daniel S., 2026. Bibkey: besser_how_2026.</w:t>
      </w:r>
    </w:p>
    <w:p>
      <w:r>
        <w:t>[25] The Impact of Generative AI-Powered Code Generation Tools on Software Engineer Hiring: Recruiters' Experiences, Perceptions, and Strategies. Chen, Alyssia, Huo, Timothy, Nam, Yunhee, Port, Dan, Peruma, Anthony, 2025. Bibkey: chen_impact_2025.</w:t>
      </w:r>
    </w:p>
    <w:p>
      <w:r>
        <w:t>[26] Will Your Next Pair Programming Partner Be Human? An Empirical Evaluation of Generative AI as a Collaborative Teammate in a Semester-Long Classroom Setting. Lyu, Wenhan, Wang, Yimeng, Sun, Yifan, Zhang, Yixuan, 2025. Bibkey: lyu_will_2025.</w:t>
      </w:r>
    </w:p>
    <w:p>
      <w:r>
        <w:t>[27] Exploring Altered Open Source Software Development Patterns in a Time of Generative AI. Li, Xinyu, Costello, Francis Joseph, Kim, Keongtae, 2025. Bibkey: li_exploring_2025.</w:t>
      </w:r>
    </w:p>
    <w:p>
      <w:r>
        <w:t>[28] Who is Smarter? An Empirical Study of AI-Based Smart Contract Creation. Karanjai, Rabimba, Li, Edward, Xu, Lei, Shi, Weidong, 2023. Bibkey: karanjai_who_2023.</w:t>
      </w:r>
    </w:p>
    <w:p>
      <w:r>
        <w:t>[29] Large Language Models and Simple, Stupid Bugs. Jesse, Kevin, Ahmed, Toufique, Devanbu, Premkumar T., Morgan, Emily, 2023. Bibkey: jesse_large_2023.</w:t>
      </w:r>
    </w:p>
    <w:p>
      <w:r>
        <w:t>[30] Evaluating Software Development Agents: Patch Patterns, Code Quality, and Issue Complexity in Real-World GitHub Scenarios. Chen, Zhi, Jiang, Lingxiao, 2024. Bibkey: chen_evaluating_2024.</w:t>
      </w:r>
    </w:p>
    <w:p>
      <w:r>
        <w:t>[31] Rethinking Technology Stack Selection with AI Coding Proficiency. Zhang, Xiaoyu, Jiang, Weipeng, Zhai, Juan, Ma, Shiqing, Bao, Qingshuang, Lin, Chenhao, Shen, Chao, Li, Tianlin, Liu, Yang, 2025. Bibkey: zhang_rethinking_2025.</w:t>
      </w:r>
    </w:p>
    <w:p>
      <w:r>
        <w:t>[32] SWE-Bench+: Enhanced Coding Benchmark for LLMs. Aleithan, Reem, Xue, Haoran, Mohajer, Mohammad Mahdi, Nnorom, Elijah, Uddin, Gias, Wang, Song, 2024. Bibkey: aleithan_swe-bench_2024.</w:t>
      </w:r>
    </w:p>
    <w:p>
      <w:r>
        <w:t>[33] Comparative Evaluation of Total Cost of Ownership (TCO) in Software Development for a FinTech Company with Operations in Costa Rica: Junior Human Capital vs. GitHub Copilot. Jonathan Anchía Rodríguez, 2025. Bibkey: rodriguez_comparative_2025.</w:t>
      </w:r>
    </w:p>
    <w:p>
      <w:pPr>
        <w:pStyle w:val="Heading1"/>
      </w:pPr>
      <w:r>
        <w:t>Self-validation note</w:t>
      </w:r>
    </w:p>
    <w:p>
      <w:r>
        <w:t>All inline bibkeys used in this artefact were checked against the supplied BIB files. Source notebook values in the anchor tables are restricted to NB1, NB2, NB3, NB4 and NB5. Tier values are restricted to A1, A2 and B as provided in the Phase 1 artefacts derived from column S of Relación de Estudios.xlsx. REMOVE_CANDIDATE papers were not cited.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