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40"/>
      </w:pPr>
      <w:r>
        <w:rPr>
          <w:rFonts w:ascii="Calibri" w:hAnsi="Calibri"/>
          <w:b/>
          <w:color w:val="0078D4"/>
          <w:sz w:val="18"/>
        </w:rPr>
        <w:t>KB012  •  IT SERVICE MANAGEMENT</w:t>
      </w:r>
    </w:p>
    <w:p>
      <w:pPr>
        <w:keepNext/>
        <w:spacing w:before="0" w:after="160"/>
      </w:pPr>
      <w:r>
        <w:rPr>
          <w:rFonts w:ascii="Calibri" w:hAnsi="Calibri"/>
          <w:b/>
          <w:color w:val="123A63"/>
          <w:sz w:val="44"/>
        </w:rPr>
        <w:t>How to Contact IT Support and Submit a Useful Ticket</w:t>
      </w:r>
    </w:p>
    <w:tbl>
      <w:tblPr>
        <w:tblW w:type="dxa" w:w="9360"/>
        <w:jc w:val="left"/>
        <w:tblLayout w:type="fixed"/>
        <w:tblLook w:firstColumn="1" w:firstRow="1" w:lastColumn="0" w:lastRow="0" w:noHBand="0" w:noVBand="1" w:val="04A0"/>
        <w:tblInd w:w="120" w:type="dxa"/>
        <w:tblBorders>
          <w:top w:val="single" w:sz="5" w:color="B8C4CE"/>
          <w:left w:val="single" w:sz="5" w:color="B8C4CE"/>
          <w:bottom w:val="single" w:sz="5" w:color="B8C4CE"/>
          <w:right w:val="single" w:sz="5" w:color="B8C4CE"/>
          <w:insideH w:val="single" w:sz="5" w:color="B8C4CE"/>
          <w:insideV w:val="single" w:sz="5" w:color="B8C4CE"/>
        </w:tblBorders>
      </w:tblPr>
      <w:tblGrid>
        <w:gridCol w:w="1650"/>
        <w:gridCol w:w="3030"/>
        <w:gridCol w:w="1650"/>
        <w:gridCol w:w="3030"/>
      </w:tblGrid>
      <w:tr>
        <w:trPr>
          <w:cantSplit/>
        </w:trPr>
        <w:tc>
          <w:tcPr>
            <w:tcW w:type="dxa" w:w="1650"/>
            <w:tcMar>
              <w:top w:w="80" w:type="dxa"/>
              <w:start w:w="120" w:type="dxa"/>
              <w:bottom w:w="80" w:type="dxa"/>
              <w:end w:w="120" w:type="dxa"/>
            </w:tcMar>
            <w:vAlign w:val="center"/>
            <w:shd w:fill="EAF3FA"/>
          </w:tcPr>
          <w:p>
            <w:pPr>
              <w:spacing w:before="0" w:after="0" w:line="240" w:lineRule="auto"/>
            </w:pPr>
            <w:r/>
            <w:r>
              <w:rPr>
                <w:rFonts w:ascii="Calibri" w:hAnsi="Calibri"/>
                <w:b/>
                <w:color w:val="123A63"/>
                <w:sz w:val="17"/>
              </w:rPr>
              <w:t>Article ID</w:t>
            </w:r>
          </w:p>
        </w:tc>
        <w:tc>
          <w:tcPr>
            <w:tcW w:type="dxa" w:w="3030"/>
            <w:tcMar>
              <w:top w:w="80" w:type="dxa"/>
              <w:start w:w="120" w:type="dxa"/>
              <w:bottom w:w="80" w:type="dxa"/>
              <w:end w:w="120" w:type="dxa"/>
            </w:tcMar>
            <w:vAlign w:val="center"/>
            <w:shd w:fill="FFFFFF"/>
          </w:tcPr>
          <w:p>
            <w:pPr>
              <w:spacing w:before="0" w:after="0" w:line="240" w:lineRule="auto"/>
            </w:pPr>
            <w:r/>
            <w:r>
              <w:rPr>
                <w:rFonts w:ascii="Calibri" w:hAnsi="Calibri"/>
                <w:color w:val="243447"/>
                <w:sz w:val="17"/>
              </w:rPr>
              <w:t>KB012</w:t>
            </w:r>
          </w:p>
        </w:tc>
        <w:tc>
          <w:tcPr>
            <w:tcW w:type="dxa" w:w="1650"/>
            <w:tcMar>
              <w:top w:w="80" w:type="dxa"/>
              <w:start w:w="120" w:type="dxa"/>
              <w:bottom w:w="80" w:type="dxa"/>
              <w:end w:w="120" w:type="dxa"/>
            </w:tcMar>
            <w:vAlign w:val="center"/>
            <w:shd w:fill="EAF3FA"/>
          </w:tcPr>
          <w:p>
            <w:pPr>
              <w:spacing w:before="0" w:after="0" w:line="240" w:lineRule="auto"/>
            </w:pPr>
            <w:r/>
            <w:r>
              <w:rPr>
                <w:rFonts w:ascii="Calibri" w:hAnsi="Calibri"/>
                <w:b/>
                <w:color w:val="123A63"/>
                <w:sz w:val="17"/>
              </w:rPr>
              <w:t>Version</w:t>
            </w:r>
          </w:p>
        </w:tc>
        <w:tc>
          <w:tcPr>
            <w:tcW w:type="dxa" w:w="3030"/>
            <w:tcMar>
              <w:top w:w="80" w:type="dxa"/>
              <w:start w:w="120" w:type="dxa"/>
              <w:bottom w:w="80" w:type="dxa"/>
              <w:end w:w="120" w:type="dxa"/>
            </w:tcMar>
            <w:vAlign w:val="center"/>
            <w:shd w:fill="FFFFFF"/>
          </w:tcPr>
          <w:p>
            <w:pPr>
              <w:spacing w:before="0" w:after="0" w:line="240" w:lineRule="auto"/>
            </w:pPr>
            <w:r/>
            <w:r>
              <w:rPr>
                <w:rFonts w:ascii="Calibri" w:hAnsi="Calibri"/>
                <w:color w:val="243447"/>
                <w:sz w:val="17"/>
              </w:rPr>
              <w:t>1.0</w:t>
            </w:r>
          </w:p>
        </w:tc>
      </w:tr>
      <w:tr>
        <w:trPr>
          <w:cantSplit/>
        </w:trPr>
        <w:tc>
          <w:tcPr>
            <w:tcW w:type="dxa" w:w="1650"/>
            <w:tcMar>
              <w:top w:w="80" w:type="dxa"/>
              <w:start w:w="120" w:type="dxa"/>
              <w:bottom w:w="80" w:type="dxa"/>
              <w:end w:w="120" w:type="dxa"/>
            </w:tcMar>
            <w:vAlign w:val="center"/>
            <w:shd w:fill="EAF3FA"/>
          </w:tcPr>
          <w:p>
            <w:pPr>
              <w:spacing w:before="0" w:after="0" w:line="240" w:lineRule="auto"/>
            </w:pPr>
            <w:r/>
            <w:r>
              <w:rPr>
                <w:rFonts w:ascii="Calibri" w:hAnsi="Calibri"/>
                <w:b/>
                <w:color w:val="123A63"/>
                <w:sz w:val="17"/>
              </w:rPr>
              <w:t>Owner</w:t>
            </w:r>
          </w:p>
        </w:tc>
        <w:tc>
          <w:tcPr>
            <w:tcW w:type="dxa" w:w="3030"/>
            <w:tcMar>
              <w:top w:w="80" w:type="dxa"/>
              <w:start w:w="120" w:type="dxa"/>
              <w:bottom w:w="80" w:type="dxa"/>
              <w:end w:w="120" w:type="dxa"/>
            </w:tcMar>
            <w:vAlign w:val="center"/>
            <w:shd w:fill="FFFFFF"/>
          </w:tcPr>
          <w:p>
            <w:pPr>
              <w:spacing w:before="0" w:after="0" w:line="240" w:lineRule="auto"/>
            </w:pPr>
            <w:r/>
            <w:r>
              <w:rPr>
                <w:rFonts w:ascii="Calibri" w:hAnsi="Calibri"/>
                <w:color w:val="243447"/>
                <w:sz w:val="17"/>
              </w:rPr>
              <w:t>Vito IT Service Desk</w:t>
            </w:r>
          </w:p>
        </w:tc>
        <w:tc>
          <w:tcPr>
            <w:tcW w:type="dxa" w:w="1650"/>
            <w:tcMar>
              <w:top w:w="80" w:type="dxa"/>
              <w:start w:w="120" w:type="dxa"/>
              <w:bottom w:w="80" w:type="dxa"/>
              <w:end w:w="120" w:type="dxa"/>
            </w:tcMar>
            <w:vAlign w:val="center"/>
            <w:shd w:fill="EAF3FA"/>
          </w:tcPr>
          <w:p>
            <w:pPr>
              <w:spacing w:before="0" w:after="0" w:line="240" w:lineRule="auto"/>
            </w:pPr>
            <w:r/>
            <w:r>
              <w:rPr>
                <w:rFonts w:ascii="Calibri" w:hAnsi="Calibri"/>
                <w:b/>
                <w:color w:val="123A63"/>
                <w:sz w:val="17"/>
              </w:rPr>
              <w:t>Audience</w:t>
            </w:r>
          </w:p>
        </w:tc>
        <w:tc>
          <w:tcPr>
            <w:tcW w:type="dxa" w:w="3030"/>
            <w:tcMar>
              <w:top w:w="80" w:type="dxa"/>
              <w:start w:w="120" w:type="dxa"/>
              <w:bottom w:w="80" w:type="dxa"/>
              <w:end w:w="120" w:type="dxa"/>
            </w:tcMar>
            <w:vAlign w:val="center"/>
            <w:shd w:fill="FFFFFF"/>
          </w:tcPr>
          <w:p>
            <w:pPr>
              <w:spacing w:before="0" w:after="0" w:line="240" w:lineRule="auto"/>
            </w:pPr>
            <w:r/>
            <w:r>
              <w:rPr>
                <w:rFonts w:ascii="Calibri" w:hAnsi="Calibri"/>
                <w:color w:val="243447"/>
                <w:sz w:val="17"/>
              </w:rPr>
              <w:t>All employees and contractors</w:t>
            </w:r>
          </w:p>
        </w:tc>
      </w:tr>
      <w:tr>
        <w:trPr>
          <w:cantSplit/>
        </w:trPr>
        <w:tc>
          <w:tcPr>
            <w:tcW w:type="dxa" w:w="1650"/>
            <w:tcMar>
              <w:top w:w="80" w:type="dxa"/>
              <w:start w:w="120" w:type="dxa"/>
              <w:bottom w:w="80" w:type="dxa"/>
              <w:end w:w="120" w:type="dxa"/>
            </w:tcMar>
            <w:vAlign w:val="center"/>
            <w:shd w:fill="EAF3FA"/>
          </w:tcPr>
          <w:p>
            <w:pPr>
              <w:spacing w:before="0" w:after="0" w:line="240" w:lineRule="auto"/>
            </w:pPr>
            <w:r/>
            <w:r>
              <w:rPr>
                <w:rFonts w:ascii="Calibri" w:hAnsi="Calibri"/>
                <w:b/>
                <w:color w:val="123A63"/>
                <w:sz w:val="17"/>
              </w:rPr>
              <w:t>Category</w:t>
            </w:r>
          </w:p>
        </w:tc>
        <w:tc>
          <w:tcPr>
            <w:tcW w:type="dxa" w:w="3030"/>
            <w:tcMar>
              <w:top w:w="80" w:type="dxa"/>
              <w:start w:w="120" w:type="dxa"/>
              <w:bottom w:w="80" w:type="dxa"/>
              <w:end w:w="120" w:type="dxa"/>
            </w:tcMar>
            <w:vAlign w:val="center"/>
            <w:shd w:fill="FFFFFF"/>
          </w:tcPr>
          <w:p>
            <w:pPr>
              <w:spacing w:before="0" w:after="0" w:line="240" w:lineRule="auto"/>
            </w:pPr>
            <w:r/>
            <w:r>
              <w:rPr>
                <w:rFonts w:ascii="Calibri" w:hAnsi="Calibri"/>
                <w:color w:val="243447"/>
                <w:sz w:val="17"/>
              </w:rPr>
              <w:t>IT Service Management</w:t>
            </w:r>
          </w:p>
        </w:tc>
        <w:tc>
          <w:tcPr>
            <w:tcW w:type="dxa" w:w="1650"/>
            <w:tcMar>
              <w:top w:w="80" w:type="dxa"/>
              <w:start w:w="120" w:type="dxa"/>
              <w:bottom w:w="80" w:type="dxa"/>
              <w:end w:w="120" w:type="dxa"/>
            </w:tcMar>
            <w:vAlign w:val="center"/>
            <w:shd w:fill="EAF3FA"/>
          </w:tcPr>
          <w:p>
            <w:pPr>
              <w:spacing w:before="0" w:after="0" w:line="240" w:lineRule="auto"/>
            </w:pPr>
            <w:r/>
            <w:r>
              <w:rPr>
                <w:rFonts w:ascii="Calibri" w:hAnsi="Calibri"/>
                <w:b/>
                <w:color w:val="123A63"/>
                <w:sz w:val="17"/>
              </w:rPr>
              <w:t>Sensitivity</w:t>
            </w:r>
          </w:p>
        </w:tc>
        <w:tc>
          <w:tcPr>
            <w:tcW w:type="dxa" w:w="3030"/>
            <w:tcMar>
              <w:top w:w="80" w:type="dxa"/>
              <w:start w:w="120" w:type="dxa"/>
              <w:bottom w:w="80" w:type="dxa"/>
              <w:end w:w="120" w:type="dxa"/>
            </w:tcMar>
            <w:vAlign w:val="center"/>
            <w:shd w:fill="FFFFFF"/>
          </w:tcPr>
          <w:p>
            <w:pPr>
              <w:spacing w:before="0" w:after="0" w:line="240" w:lineRule="auto"/>
            </w:pPr>
            <w:r/>
            <w:r>
              <w:rPr>
                <w:rFonts w:ascii="Calibri" w:hAnsi="Calibri"/>
                <w:color w:val="243447"/>
                <w:sz w:val="17"/>
              </w:rPr>
              <w:t>Internal</w:t>
            </w:r>
          </w:p>
        </w:tc>
      </w:tr>
      <w:tr>
        <w:trPr>
          <w:cantSplit/>
        </w:trPr>
        <w:tc>
          <w:tcPr>
            <w:tcW w:type="dxa" w:w="1650"/>
            <w:tcMar>
              <w:top w:w="80" w:type="dxa"/>
              <w:start w:w="120" w:type="dxa"/>
              <w:bottom w:w="80" w:type="dxa"/>
              <w:end w:w="120" w:type="dxa"/>
            </w:tcMar>
            <w:vAlign w:val="center"/>
            <w:shd w:fill="EAF3FA"/>
          </w:tcPr>
          <w:p>
            <w:pPr>
              <w:spacing w:before="0" w:after="0" w:line="240" w:lineRule="auto"/>
            </w:pPr>
            <w:r/>
            <w:r>
              <w:rPr>
                <w:rFonts w:ascii="Calibri" w:hAnsi="Calibri"/>
                <w:b/>
                <w:color w:val="123A63"/>
                <w:sz w:val="17"/>
              </w:rPr>
              <w:t>Last reviewed</w:t>
            </w:r>
          </w:p>
        </w:tc>
        <w:tc>
          <w:tcPr>
            <w:tcW w:type="dxa" w:w="3030"/>
            <w:tcMar>
              <w:top w:w="80" w:type="dxa"/>
              <w:start w:w="120" w:type="dxa"/>
              <w:bottom w:w="80" w:type="dxa"/>
              <w:end w:w="120" w:type="dxa"/>
            </w:tcMar>
            <w:vAlign w:val="center"/>
            <w:shd w:fill="FFFFFF"/>
          </w:tcPr>
          <w:p>
            <w:pPr>
              <w:spacing w:before="0" w:after="0" w:line="240" w:lineRule="auto"/>
            </w:pPr>
            <w:r/>
            <w:r>
              <w:rPr>
                <w:rFonts w:ascii="Calibri" w:hAnsi="Calibri"/>
                <w:color w:val="243447"/>
                <w:sz w:val="17"/>
              </w:rPr>
              <w:t>9 August 2026</w:t>
            </w:r>
          </w:p>
        </w:tc>
        <w:tc>
          <w:tcPr>
            <w:tcW w:type="dxa" w:w="1650"/>
            <w:tcMar>
              <w:top w:w="80" w:type="dxa"/>
              <w:start w:w="120" w:type="dxa"/>
              <w:bottom w:w="80" w:type="dxa"/>
              <w:end w:w="120" w:type="dxa"/>
            </w:tcMar>
            <w:vAlign w:val="center"/>
            <w:shd w:fill="EAF3FA"/>
          </w:tcPr>
          <w:p>
            <w:pPr>
              <w:spacing w:before="0" w:after="0" w:line="240" w:lineRule="auto"/>
            </w:pPr>
            <w:r/>
            <w:r>
              <w:rPr>
                <w:rFonts w:ascii="Calibri" w:hAnsi="Calibri"/>
                <w:b/>
                <w:color w:val="123A63"/>
                <w:sz w:val="17"/>
              </w:rPr>
              <w:t>Review cycle</w:t>
            </w:r>
          </w:p>
        </w:tc>
        <w:tc>
          <w:tcPr>
            <w:tcW w:type="dxa" w:w="3030"/>
            <w:tcMar>
              <w:top w:w="80" w:type="dxa"/>
              <w:start w:w="120" w:type="dxa"/>
              <w:bottom w:w="80" w:type="dxa"/>
              <w:end w:w="120" w:type="dxa"/>
            </w:tcMar>
            <w:vAlign w:val="center"/>
            <w:shd w:fill="FFFFFF"/>
          </w:tcPr>
          <w:p>
            <w:pPr>
              <w:spacing w:before="0" w:after="0" w:line="240" w:lineRule="auto"/>
            </w:pPr>
            <w:r/>
            <w:r>
              <w:rPr>
                <w:rFonts w:ascii="Calibri" w:hAnsi="Calibri"/>
                <w:color w:val="243447"/>
                <w:sz w:val="17"/>
              </w:rPr>
              <w:t>Annual or after material change</w:t>
            </w:r>
          </w:p>
        </w:tc>
      </w:tr>
      <w:tr>
        <w:trPr>
          <w:cantSplit/>
        </w:trPr>
        <w:tc>
          <w:tcPr>
            <w:tcW w:type="dxa" w:w="1650"/>
            <w:tcMar>
              <w:top w:w="80" w:type="dxa"/>
              <w:start w:w="120" w:type="dxa"/>
              <w:bottom w:w="80" w:type="dxa"/>
              <w:end w:w="120" w:type="dxa"/>
            </w:tcMar>
            <w:vAlign w:val="center"/>
            <w:shd w:fill="EAF3FA"/>
          </w:tcPr>
          <w:p>
            <w:pPr>
              <w:spacing w:before="0" w:after="0" w:line="240" w:lineRule="auto"/>
            </w:pPr>
            <w:r/>
            <w:r>
              <w:rPr>
                <w:rFonts w:ascii="Calibri" w:hAnsi="Calibri"/>
                <w:b/>
                <w:color w:val="123A63"/>
                <w:sz w:val="17"/>
              </w:rPr>
              <w:t>Platform</w:t>
            </w:r>
          </w:p>
        </w:tc>
        <w:tc>
          <w:tcPr>
            <w:tcW w:type="dxa" w:w="3030"/>
            <w:tcMar>
              <w:top w:w="80" w:type="dxa"/>
              <w:start w:w="120" w:type="dxa"/>
              <w:bottom w:w="80" w:type="dxa"/>
              <w:end w:w="120" w:type="dxa"/>
            </w:tcMar>
            <w:vAlign w:val="center"/>
            <w:shd w:fill="FFFFFF"/>
          </w:tcPr>
          <w:p>
            <w:pPr>
              <w:spacing w:before="0" w:after="0" w:line="240" w:lineRule="auto"/>
            </w:pPr>
            <w:r/>
            <w:r>
              <w:rPr>
                <w:rFonts w:ascii="Calibri" w:hAnsi="Calibri"/>
                <w:color w:val="243447"/>
                <w:sz w:val="17"/>
              </w:rPr>
              <w:t>Vito IT service portal / support channels</w:t>
            </w:r>
          </w:p>
        </w:tc>
        <w:tc>
          <w:tcPr>
            <w:tcW w:type="dxa" w:w="1650"/>
            <w:tcMar>
              <w:top w:w="80" w:type="dxa"/>
              <w:start w:w="120" w:type="dxa"/>
              <w:bottom w:w="80" w:type="dxa"/>
              <w:end w:w="120" w:type="dxa"/>
            </w:tcMar>
            <w:vAlign w:val="center"/>
            <w:shd w:fill="EAF3FA"/>
          </w:tcPr>
          <w:p>
            <w:pPr>
              <w:spacing w:before="0" w:after="0" w:line="240" w:lineRule="auto"/>
            </w:pPr>
            <w:r/>
            <w:r>
              <w:rPr>
                <w:rFonts w:ascii="Calibri" w:hAnsi="Calibri"/>
                <w:b/>
                <w:color w:val="123A63"/>
                <w:sz w:val="17"/>
              </w:rPr>
              <w:t>Status</w:t>
            </w:r>
          </w:p>
        </w:tc>
        <w:tc>
          <w:tcPr>
            <w:tcW w:type="dxa" w:w="3030"/>
            <w:tcMar>
              <w:top w:w="80" w:type="dxa"/>
              <w:start w:w="120" w:type="dxa"/>
              <w:bottom w:w="80" w:type="dxa"/>
              <w:end w:w="120" w:type="dxa"/>
            </w:tcMar>
            <w:vAlign w:val="center"/>
            <w:shd w:fill="FFFFFF"/>
          </w:tcPr>
          <w:p>
            <w:pPr>
              <w:spacing w:before="0" w:after="0" w:line="240" w:lineRule="auto"/>
            </w:pPr>
            <w:r/>
            <w:r>
              <w:rPr>
                <w:rFonts w:ascii="Calibri" w:hAnsi="Calibri"/>
                <w:color w:val="243447"/>
                <w:sz w:val="17"/>
              </w:rPr>
              <w:t>Published demo content</w:t>
            </w:r>
          </w:p>
        </w:tc>
      </w:tr>
    </w:tbl>
    <w:p>
      <w:pPr>
        <w:spacing w:before="80" w:after="140"/>
        <w:shd w:fill="F5F9FC"/>
        <w:pBdr>
          <w:left w:val="single" w:sz="18" w:space="6" w:color="0078D4"/>
        </w:pBdr>
      </w:pPr>
      <w:r>
        <w:rPr>
          <w:rFonts w:ascii="Calibri" w:hAnsi="Calibri"/>
          <w:b/>
          <w:color w:val="123A63"/>
          <w:sz w:val="18"/>
        </w:rPr>
        <w:t xml:space="preserve">Search summary: </w:t>
      </w:r>
      <w:r>
        <w:rPr>
          <w:rFonts w:ascii="Calibri" w:hAnsi="Calibri"/>
          <w:color w:val="243447"/>
          <w:sz w:val="18"/>
        </w:rPr>
        <w:t>Choose the correct Vito support channel, describe the business impact, and provide evidence that helps IT resolve the issue quickly.</w:t>
      </w:r>
    </w:p>
    <w:p>
      <w:pPr>
        <w:pStyle w:val="Heading1"/>
      </w:pPr>
      <w:r>
        <w:t>Overview</w:t>
      </w:r>
    </w:p>
    <w:p>
      <w:pPr>
        <w:spacing w:after="80" w:line="276" w:lineRule="auto"/>
      </w:pPr>
      <w:r>
        <w:t>Use the IT service portal for standard incidents and requests. Use the published urgent phone or security channel for safety, active security incidents, widespread outages, or time-critical business impact.</w:t>
      </w:r>
    </w:p>
    <w:p>
      <w:pPr>
        <w:spacing w:after="80" w:line="276" w:lineRule="auto"/>
      </w:pPr>
      <w:r>
        <w:t>A useful ticket states what is wrong, who and what are affected, when it began, the business impact, and what has already been tried—without including passwords, MFA codes, or unnecessary sensitive data.</w:t>
      </w:r>
    </w:p>
    <w:p>
      <w:pPr>
        <w:pStyle w:val="Heading1"/>
      </w:pPr>
      <w:r>
        <w:t>Prerequisites</w:t>
      </w:r>
    </w:p>
    <w:p>
      <w:pPr>
        <w:keepLines/>
        <w:numPr>
          <w:ilvl w:val="0"/>
          <w:numId w:val="11"/>
        </w:numPr>
        <w:spacing w:after="70" w:line="278" w:lineRule="auto"/>
        <w:ind w:left="540" w:hanging="271"/>
      </w:pPr>
      <w:r>
        <w:rPr>
          <w:rFonts w:ascii="Calibri" w:hAnsi="Calibri"/>
          <w:color w:val="243447"/>
          <w:sz w:val="20"/>
        </w:rPr>
        <w:t>Your Vito work account or another approved way to identify yourself.</w:t>
      </w:r>
    </w:p>
    <w:p>
      <w:pPr>
        <w:keepLines/>
        <w:numPr>
          <w:ilvl w:val="0"/>
          <w:numId w:val="11"/>
        </w:numPr>
        <w:spacing w:after="70" w:line="278" w:lineRule="auto"/>
        <w:ind w:left="540" w:hanging="271"/>
      </w:pPr>
      <w:r>
        <w:rPr>
          <w:rFonts w:ascii="Calibri" w:hAnsi="Calibri"/>
          <w:color w:val="243447"/>
          <w:sz w:val="20"/>
        </w:rPr>
        <w:t>Device asset tag, application or service name, and approximate issue start time.</w:t>
      </w:r>
    </w:p>
    <w:p>
      <w:pPr>
        <w:keepLines/>
        <w:numPr>
          <w:ilvl w:val="0"/>
          <w:numId w:val="11"/>
        </w:numPr>
        <w:spacing w:after="70" w:line="278" w:lineRule="auto"/>
        <w:ind w:left="540" w:hanging="271"/>
      </w:pPr>
      <w:r>
        <w:rPr>
          <w:rFonts w:ascii="Calibri" w:hAnsi="Calibri"/>
          <w:color w:val="243447"/>
          <w:sz w:val="20"/>
        </w:rPr>
        <w:t>A safe screenshot or exact error text with confidential data hidden.</w:t>
      </w:r>
    </w:p>
    <w:p>
      <w:pPr>
        <w:pStyle w:val="Heading1"/>
      </w:pPr>
      <w:r>
        <w:t>Procedure</w:t>
      </w:r>
    </w:p>
    <w:p>
      <w:pPr>
        <w:keepLines/>
        <w:numPr>
          <w:ilvl w:val="0"/>
          <w:numId w:val="10"/>
        </w:numPr>
        <w:spacing w:after="80" w:line="283" w:lineRule="auto"/>
        <w:ind w:left="540" w:hanging="271"/>
      </w:pPr>
      <w:r>
        <w:rPr>
          <w:rFonts w:ascii="Calibri" w:hAnsi="Calibri"/>
          <w:b/>
          <w:color w:val="243447"/>
          <w:sz w:val="20"/>
        </w:rPr>
        <w:t xml:space="preserve">Choose incident or request. </w:t>
      </w:r>
      <w:r>
        <w:rPr>
          <w:rFonts w:ascii="Calibri" w:hAnsi="Calibri"/>
          <w:color w:val="243447"/>
          <w:sz w:val="20"/>
        </w:rPr>
        <w:t>Use Incident for something broken or degraded. Use Service Request for access, software, equipment, or a planned change.</w:t>
      </w:r>
    </w:p>
    <w:p>
      <w:pPr>
        <w:keepLines/>
        <w:numPr>
          <w:ilvl w:val="0"/>
          <w:numId w:val="10"/>
        </w:numPr>
        <w:spacing w:after="80" w:line="283" w:lineRule="auto"/>
        <w:ind w:left="540" w:hanging="271"/>
      </w:pPr>
      <w:r>
        <w:rPr>
          <w:rFonts w:ascii="Calibri" w:hAnsi="Calibri"/>
          <w:b/>
          <w:color w:val="243447"/>
          <w:sz w:val="20"/>
        </w:rPr>
        <w:t xml:space="preserve">Select the correct service. </w:t>
      </w:r>
      <w:r>
        <w:rPr>
          <w:rFonts w:ascii="Calibri" w:hAnsi="Calibri"/>
          <w:color w:val="243447"/>
          <w:sz w:val="20"/>
        </w:rPr>
        <w:t>Choose the category closest to the affected system so the ticket reaches the responsible team.</w:t>
      </w:r>
    </w:p>
    <w:p>
      <w:pPr>
        <w:keepLines/>
        <w:numPr>
          <w:ilvl w:val="0"/>
          <w:numId w:val="10"/>
        </w:numPr>
        <w:spacing w:after="80" w:line="283" w:lineRule="auto"/>
        <w:ind w:left="540" w:hanging="271"/>
      </w:pPr>
      <w:r>
        <w:rPr>
          <w:rFonts w:ascii="Calibri" w:hAnsi="Calibri"/>
          <w:b/>
          <w:color w:val="243447"/>
          <w:sz w:val="20"/>
        </w:rPr>
        <w:t xml:space="preserve">Write a searchable title. </w:t>
      </w:r>
      <w:r>
        <w:rPr>
          <w:rFonts w:ascii="Calibri" w:hAnsi="Calibri"/>
          <w:color w:val="243447"/>
          <w:sz w:val="20"/>
        </w:rPr>
        <w:t>Use a short pattern such as “Outlook cannot send — one user — Windows 11” instead of “Help” or “Urgent.”</w:t>
      </w:r>
    </w:p>
    <w:p>
      <w:pPr>
        <w:keepLines/>
        <w:numPr>
          <w:ilvl w:val="0"/>
          <w:numId w:val="10"/>
        </w:numPr>
        <w:spacing w:after="80" w:line="283" w:lineRule="auto"/>
        <w:ind w:left="540" w:hanging="271"/>
      </w:pPr>
      <w:r>
        <w:rPr>
          <w:rFonts w:ascii="Calibri" w:hAnsi="Calibri"/>
          <w:b/>
          <w:color w:val="243447"/>
          <w:sz w:val="20"/>
        </w:rPr>
        <w:t xml:space="preserve">Describe impact and scope. </w:t>
      </w:r>
      <w:r>
        <w:rPr>
          <w:rFonts w:ascii="Calibri" w:hAnsi="Calibri"/>
          <w:color w:val="243447"/>
          <w:sz w:val="20"/>
        </w:rPr>
        <w:t>State the expected result, actual result, affected users/location, business deadline, and whether a workaround exists.</w:t>
      </w:r>
    </w:p>
    <w:p>
      <w:pPr>
        <w:keepLines/>
        <w:numPr>
          <w:ilvl w:val="0"/>
          <w:numId w:val="10"/>
        </w:numPr>
        <w:spacing w:after="80" w:line="283" w:lineRule="auto"/>
        <w:ind w:left="540" w:hanging="271"/>
      </w:pPr>
      <w:r>
        <w:rPr>
          <w:rFonts w:ascii="Calibri" w:hAnsi="Calibri"/>
          <w:b/>
          <w:color w:val="243447"/>
          <w:sz w:val="20"/>
        </w:rPr>
        <w:t xml:space="preserve">Attach safe evidence. </w:t>
      </w:r>
      <w:r>
        <w:rPr>
          <w:rFonts w:ascii="Calibri" w:hAnsi="Calibri"/>
          <w:color w:val="243447"/>
          <w:sz w:val="20"/>
        </w:rPr>
        <w:t>Include timestamps, exact errors, asset tag, application version, and redacted screenshots. Never attach passwords, MFA codes, secret keys, or unrelated personal data.</w:t>
      </w:r>
    </w:p>
    <w:p>
      <w:pPr>
        <w:keepLines/>
        <w:numPr>
          <w:ilvl w:val="0"/>
          <w:numId w:val="10"/>
        </w:numPr>
        <w:spacing w:after="80" w:line="283" w:lineRule="auto"/>
        <w:ind w:left="540" w:hanging="271"/>
      </w:pPr>
      <w:r>
        <w:rPr>
          <w:rFonts w:ascii="Calibri" w:hAnsi="Calibri"/>
          <w:b/>
          <w:color w:val="243447"/>
          <w:sz w:val="20"/>
        </w:rPr>
        <w:t xml:space="preserve">Track and update one ticket. </w:t>
      </w:r>
      <w:r>
        <w:rPr>
          <w:rFonts w:ascii="Calibri" w:hAnsi="Calibri"/>
          <w:color w:val="243447"/>
          <w:sz w:val="20"/>
        </w:rPr>
        <w:t>Keep the ticket number, reply to IT questions, and add new facts to the same case. Avoid duplicates unless an urgent route specifically requires a reference.</w:t>
      </w:r>
    </w:p>
    <w:p>
      <w:r>
        <w:br w:type="page"/>
      </w:r>
    </w:p>
    <w:p>
      <w:pPr>
        <w:pStyle w:val="Heading1"/>
      </w:pPr>
      <w:r>
        <w:t>Common Issues</w:t>
      </w:r>
    </w:p>
    <w:p>
      <w:pPr>
        <w:spacing w:after="120"/>
      </w:pPr>
      <w:r>
        <w:t>Try the listed action once or twice. Stop if the step could risk data, security, safety, or business records.</w:t>
      </w:r>
    </w:p>
    <w:tbl>
      <w:tblPr>
        <w:tblW w:type="dxa" w:w="9360"/>
        <w:tblLayout w:type="fixed"/>
        <w:tblLook w:firstColumn="1" w:firstRow="1" w:lastColumn="0" w:lastRow="0" w:noHBand="0" w:noVBand="1" w:val="04A0"/>
        <w:jc w:val="left"/>
        <w:tblInd w:w="120" w:type="dxa"/>
        <w:tblBorders>
          <w:top w:val="single" w:sz="5" w:color="B8C4CE"/>
          <w:left w:val="single" w:sz="5" w:color="B8C4CE"/>
          <w:bottom w:val="single" w:sz="5" w:color="B8C4CE"/>
          <w:right w:val="single" w:sz="5" w:color="B8C4CE"/>
          <w:insideH w:val="single" w:sz="5" w:color="B8C4CE"/>
          <w:insideV w:val="single" w:sz="5" w:color="B8C4CE"/>
        </w:tblBorders>
      </w:tblPr>
      <w:tblGrid>
        <w:gridCol w:w="1850"/>
        <w:gridCol w:w="4850"/>
        <w:gridCol w:w="2660"/>
      </w:tblGrid>
      <w:tr>
        <w:trPr>
          <w:cantSplit/>
          <w:tblHeader w:val="true"/>
          <w:cantSplit/>
        </w:trPr>
        <w:tc>
          <w:tcPr>
            <w:tcW w:type="dxa" w:w="1850"/>
            <w:tcMar>
              <w:top w:w="80" w:type="dxa"/>
              <w:start w:w="120" w:type="dxa"/>
              <w:bottom w:w="80" w:type="dxa"/>
              <w:end w:w="120" w:type="dxa"/>
            </w:tcMar>
            <w:vAlign w:val="center"/>
            <w:shd w:fill="123A63"/>
          </w:tcPr>
          <w:p>
            <w:pPr>
              <w:spacing w:after="0"/>
            </w:pPr>
            <w:r/>
            <w:r>
              <w:rPr>
                <w:rFonts w:ascii="Calibri" w:hAnsi="Calibri"/>
                <w:b/>
                <w:color w:val="FFFFFF"/>
                <w:sz w:val="18"/>
              </w:rPr>
              <w:t>Issue or symptom</w:t>
            </w:r>
          </w:p>
        </w:tc>
        <w:tc>
          <w:tcPr>
            <w:tcW w:type="dxa" w:w="4850"/>
            <w:tcMar>
              <w:top w:w="80" w:type="dxa"/>
              <w:start w:w="120" w:type="dxa"/>
              <w:bottom w:w="80" w:type="dxa"/>
              <w:end w:w="120" w:type="dxa"/>
            </w:tcMar>
            <w:vAlign w:val="center"/>
            <w:shd w:fill="123A63"/>
          </w:tcPr>
          <w:p>
            <w:pPr>
              <w:spacing w:after="0"/>
            </w:pPr>
            <w:r/>
            <w:r>
              <w:rPr>
                <w:rFonts w:ascii="Calibri" w:hAnsi="Calibri"/>
                <w:b/>
                <w:color w:val="FFFFFF"/>
                <w:sz w:val="18"/>
              </w:rPr>
              <w:t>What to do</w:t>
            </w:r>
          </w:p>
        </w:tc>
        <w:tc>
          <w:tcPr>
            <w:tcW w:type="dxa" w:w="2660"/>
            <w:tcMar>
              <w:top w:w="80" w:type="dxa"/>
              <w:start w:w="120" w:type="dxa"/>
              <w:bottom w:w="80" w:type="dxa"/>
              <w:end w:w="120" w:type="dxa"/>
            </w:tcMar>
            <w:vAlign w:val="center"/>
            <w:shd w:fill="123A63"/>
          </w:tcPr>
          <w:p>
            <w:pPr>
              <w:spacing w:after="0"/>
            </w:pPr>
            <w:r/>
            <w:r>
              <w:rPr>
                <w:rFonts w:ascii="Calibri" w:hAnsi="Calibri"/>
                <w:b/>
                <w:color w:val="FFFFFF"/>
                <w:sz w:val="18"/>
              </w:rPr>
              <w:t>Escalate</w:t>
            </w:r>
          </w:p>
        </w:tc>
      </w:tr>
      <w:tr>
        <w:trPr>
          <w:cantSplit/>
          <w:cantSplit/>
        </w:trPr>
        <w:tc>
          <w:tcPr>
            <w:tcW w:type="dxa" w:w="1850"/>
            <w:shd w:fill="FFFFFF"/>
            <w:tcMar>
              <w:top w:w="80" w:type="dxa"/>
              <w:start w:w="120" w:type="dxa"/>
              <w:bottom w:w="80" w:type="dxa"/>
              <w:end w:w="120" w:type="dxa"/>
            </w:tcMar>
            <w:vAlign w:val="center"/>
          </w:tcPr>
          <w:p>
            <w:pPr>
              <w:spacing w:after="0" w:line="252" w:lineRule="auto"/>
            </w:pPr>
            <w:r/>
            <w:r>
              <w:rPr>
                <w:rFonts w:ascii="Calibri" w:hAnsi="Calibri"/>
                <w:b/>
                <w:color w:val="243447"/>
                <w:sz w:val="17"/>
              </w:rPr>
              <w:t>The portal is unavailable</w:t>
            </w:r>
          </w:p>
        </w:tc>
        <w:tc>
          <w:tcPr>
            <w:tcW w:type="dxa" w:w="4850"/>
            <w:shd w:fill="FFFFFF"/>
            <w:tcMar>
              <w:top w:w="80" w:type="dxa"/>
              <w:start w:w="120" w:type="dxa"/>
              <w:bottom w:w="80" w:type="dxa"/>
              <w:end w:w="120" w:type="dxa"/>
            </w:tcMar>
            <w:vAlign w:val="center"/>
          </w:tcPr>
          <w:p>
            <w:pPr>
              <w:spacing w:after="0" w:line="252" w:lineRule="auto"/>
            </w:pPr>
            <w:r/>
            <w:r>
              <w:rPr>
                <w:rFonts w:ascii="Calibri" w:hAnsi="Calibri"/>
                <w:b w:val="0"/>
                <w:color w:val="243447"/>
                <w:sz w:val="17"/>
              </w:rPr>
              <w:t>Use the published backup phone or email channel and note the portal outage.</w:t>
            </w:r>
          </w:p>
        </w:tc>
        <w:tc>
          <w:tcPr>
            <w:tcW w:type="dxa" w:w="2660"/>
            <w:shd w:fill="FFFFFF"/>
            <w:tcMar>
              <w:top w:w="80" w:type="dxa"/>
              <w:start w:w="120" w:type="dxa"/>
              <w:bottom w:w="80" w:type="dxa"/>
              <w:end w:w="120" w:type="dxa"/>
            </w:tcMar>
            <w:vAlign w:val="center"/>
          </w:tcPr>
          <w:p>
            <w:pPr>
              <w:spacing w:after="0" w:line="252" w:lineRule="auto"/>
            </w:pPr>
            <w:r/>
            <w:r>
              <w:rPr>
                <w:rFonts w:ascii="Calibri" w:hAnsi="Calibri"/>
                <w:b w:val="0"/>
                <w:color w:val="243447"/>
                <w:sz w:val="17"/>
              </w:rPr>
              <w:t>Immediately if urgent</w:t>
            </w:r>
          </w:p>
        </w:tc>
      </w:tr>
      <w:tr>
        <w:trPr>
          <w:cantSplit/>
          <w:cantSplit/>
        </w:trPr>
        <w:tc>
          <w:tcPr>
            <w:tcW w:type="dxa" w:w="1850"/>
            <w:shd w:fill="F5F9FC"/>
            <w:tcMar>
              <w:top w:w="80" w:type="dxa"/>
              <w:start w:w="120" w:type="dxa"/>
              <w:bottom w:w="80" w:type="dxa"/>
              <w:end w:w="120" w:type="dxa"/>
            </w:tcMar>
            <w:vAlign w:val="center"/>
          </w:tcPr>
          <w:p>
            <w:pPr>
              <w:spacing w:after="0" w:line="252" w:lineRule="auto"/>
            </w:pPr>
            <w:r/>
            <w:r>
              <w:rPr>
                <w:rFonts w:ascii="Calibri" w:hAnsi="Calibri"/>
                <w:b/>
                <w:color w:val="243447"/>
                <w:sz w:val="17"/>
              </w:rPr>
              <w:t>No confirmation arrives</w:t>
            </w:r>
          </w:p>
        </w:tc>
        <w:tc>
          <w:tcPr>
            <w:tcW w:type="dxa" w:w="4850"/>
            <w:shd w:fill="F5F9FC"/>
            <w:tcMar>
              <w:top w:w="80" w:type="dxa"/>
              <w:start w:w="120" w:type="dxa"/>
              <w:bottom w:w="80" w:type="dxa"/>
              <w:end w:w="120" w:type="dxa"/>
            </w:tcMar>
            <w:vAlign w:val="center"/>
          </w:tcPr>
          <w:p>
            <w:pPr>
              <w:spacing w:after="0" w:line="252" w:lineRule="auto"/>
            </w:pPr>
            <w:r/>
            <w:r>
              <w:rPr>
                <w:rFonts w:ascii="Calibri" w:hAnsi="Calibri"/>
                <w:b w:val="0"/>
                <w:color w:val="243447"/>
                <w:sz w:val="17"/>
              </w:rPr>
              <w:t>Check the portal’s My requests area and Junk Email before resubmitting.</w:t>
            </w:r>
          </w:p>
        </w:tc>
        <w:tc>
          <w:tcPr>
            <w:tcW w:type="dxa" w:w="2660"/>
            <w:shd w:fill="F5F9FC"/>
            <w:tcMar>
              <w:top w:w="80" w:type="dxa"/>
              <w:start w:w="120" w:type="dxa"/>
              <w:bottom w:w="80" w:type="dxa"/>
              <w:end w:w="120" w:type="dxa"/>
            </w:tcMar>
            <w:vAlign w:val="center"/>
          </w:tcPr>
          <w:p>
            <w:pPr>
              <w:spacing w:after="0" w:line="252" w:lineRule="auto"/>
            </w:pPr>
            <w:r/>
            <w:r>
              <w:rPr>
                <w:rFonts w:ascii="Calibri" w:hAnsi="Calibri"/>
                <w:b w:val="0"/>
                <w:color w:val="243447"/>
                <w:sz w:val="17"/>
              </w:rPr>
              <w:t>After 15 minutes</w:t>
            </w:r>
          </w:p>
        </w:tc>
      </w:tr>
      <w:tr>
        <w:trPr>
          <w:cantSplit/>
          <w:cantSplit/>
        </w:trPr>
        <w:tc>
          <w:tcPr>
            <w:tcW w:type="dxa" w:w="1850"/>
            <w:shd w:fill="FFFFFF"/>
            <w:tcMar>
              <w:top w:w="80" w:type="dxa"/>
              <w:start w:w="120" w:type="dxa"/>
              <w:bottom w:w="80" w:type="dxa"/>
              <w:end w:w="120" w:type="dxa"/>
            </w:tcMar>
            <w:vAlign w:val="center"/>
          </w:tcPr>
          <w:p>
            <w:pPr>
              <w:spacing w:after="0" w:line="252" w:lineRule="auto"/>
            </w:pPr>
            <w:r/>
            <w:r>
              <w:rPr>
                <w:rFonts w:ascii="Calibri" w:hAnsi="Calibri"/>
                <w:b/>
                <w:color w:val="243447"/>
                <w:sz w:val="17"/>
              </w:rPr>
              <w:t>Issue affects many users</w:t>
            </w:r>
          </w:p>
        </w:tc>
        <w:tc>
          <w:tcPr>
            <w:tcW w:type="dxa" w:w="4850"/>
            <w:shd w:fill="FFFFFF"/>
            <w:tcMar>
              <w:top w:w="80" w:type="dxa"/>
              <w:start w:w="120" w:type="dxa"/>
              <w:bottom w:w="80" w:type="dxa"/>
              <w:end w:w="120" w:type="dxa"/>
            </w:tcMar>
            <w:vAlign w:val="center"/>
          </w:tcPr>
          <w:p>
            <w:pPr>
              <w:spacing w:after="0" w:line="252" w:lineRule="auto"/>
            </w:pPr>
            <w:r/>
            <w:r>
              <w:rPr>
                <w:rFonts w:ascii="Calibri" w:hAnsi="Calibri"/>
                <w:b w:val="0"/>
                <w:color w:val="243447"/>
                <w:sz w:val="17"/>
              </w:rPr>
              <w:t>Call the urgent support route and reference one primary ticket; do not create many duplicates.</w:t>
            </w:r>
          </w:p>
        </w:tc>
        <w:tc>
          <w:tcPr>
            <w:tcW w:type="dxa" w:w="2660"/>
            <w:shd w:fill="FFFFFF"/>
            <w:tcMar>
              <w:top w:w="80" w:type="dxa"/>
              <w:start w:w="120" w:type="dxa"/>
              <w:bottom w:w="80" w:type="dxa"/>
              <w:end w:w="120" w:type="dxa"/>
            </w:tcMar>
            <w:vAlign w:val="center"/>
          </w:tcPr>
          <w:p>
            <w:pPr>
              <w:spacing w:after="0" w:line="252" w:lineRule="auto"/>
            </w:pPr>
            <w:r/>
            <w:r>
              <w:rPr>
                <w:rFonts w:ascii="Calibri" w:hAnsi="Calibri"/>
                <w:b w:val="0"/>
                <w:color w:val="243447"/>
                <w:sz w:val="17"/>
              </w:rPr>
              <w:t>Immediately</w:t>
            </w:r>
          </w:p>
        </w:tc>
      </w:tr>
      <w:tr>
        <w:trPr>
          <w:cantSplit/>
          <w:cantSplit/>
        </w:trPr>
        <w:tc>
          <w:tcPr>
            <w:tcW w:type="dxa" w:w="1850"/>
            <w:shd w:fill="F5F9FC"/>
            <w:tcMar>
              <w:top w:w="80" w:type="dxa"/>
              <w:start w:w="120" w:type="dxa"/>
              <w:bottom w:w="80" w:type="dxa"/>
              <w:end w:w="120" w:type="dxa"/>
            </w:tcMar>
            <w:vAlign w:val="center"/>
          </w:tcPr>
          <w:p>
            <w:pPr>
              <w:spacing w:after="0" w:line="252" w:lineRule="auto"/>
            </w:pPr>
            <w:r/>
            <w:r>
              <w:rPr>
                <w:rFonts w:ascii="Calibri" w:hAnsi="Calibri"/>
                <w:b/>
                <w:color w:val="243447"/>
                <w:sz w:val="17"/>
              </w:rPr>
              <w:t>Sensitive evidence is required</w:t>
            </w:r>
          </w:p>
        </w:tc>
        <w:tc>
          <w:tcPr>
            <w:tcW w:type="dxa" w:w="4850"/>
            <w:shd w:fill="F5F9FC"/>
            <w:tcMar>
              <w:top w:w="80" w:type="dxa"/>
              <w:start w:w="120" w:type="dxa"/>
              <w:bottom w:w="80" w:type="dxa"/>
              <w:end w:w="120" w:type="dxa"/>
            </w:tcMar>
            <w:vAlign w:val="center"/>
          </w:tcPr>
          <w:p>
            <w:pPr>
              <w:spacing w:after="0" w:line="252" w:lineRule="auto"/>
            </w:pPr>
            <w:r/>
            <w:r>
              <w:rPr>
                <w:rFonts w:ascii="Calibri" w:hAnsi="Calibri"/>
                <w:b w:val="0"/>
                <w:color w:val="243447"/>
                <w:sz w:val="17"/>
              </w:rPr>
              <w:t>Ask IT for an approved secure transfer method before uploading the data.</w:t>
            </w:r>
          </w:p>
        </w:tc>
        <w:tc>
          <w:tcPr>
            <w:tcW w:type="dxa" w:w="2660"/>
            <w:shd w:fill="F5F9FC"/>
            <w:tcMar>
              <w:top w:w="80" w:type="dxa"/>
              <w:start w:w="120" w:type="dxa"/>
              <w:bottom w:w="80" w:type="dxa"/>
              <w:end w:w="120" w:type="dxa"/>
            </w:tcMar>
            <w:vAlign w:val="center"/>
          </w:tcPr>
          <w:p>
            <w:pPr>
              <w:spacing w:after="0" w:line="252" w:lineRule="auto"/>
            </w:pPr>
            <w:r/>
            <w:r>
              <w:rPr>
                <w:rFonts w:ascii="Calibri" w:hAnsi="Calibri"/>
                <w:b w:val="0"/>
                <w:color w:val="243447"/>
                <w:sz w:val="17"/>
              </w:rPr>
              <w:t>Before sending</w:t>
            </w:r>
          </w:p>
        </w:tc>
      </w:tr>
    </w:tbl>
    <w:p>
      <w:pPr>
        <w:pStyle w:val="Heading1"/>
      </w:pPr>
      <w:r>
        <w:t>Escalation</w:t>
      </w:r>
    </w:p>
    <w:p>
      <w:pPr>
        <w:spacing w:after="80"/>
      </w:pPr>
      <w:r>
        <w:rPr>
          <w:rFonts w:ascii="Calibri" w:hAnsi="Calibri"/>
          <w:b/>
          <w:color w:val="243447"/>
          <w:sz w:val="20"/>
        </w:rPr>
        <w:t>Contact the Vito IT Service Desk or the published urgent/security channel when:</w:t>
      </w:r>
    </w:p>
    <w:p>
      <w:pPr>
        <w:keepLines/>
        <w:numPr>
          <w:ilvl w:val="0"/>
          <w:numId w:val="11"/>
        </w:numPr>
        <w:spacing w:after="70" w:line="278" w:lineRule="auto"/>
        <w:ind w:left="540" w:hanging="271"/>
      </w:pPr>
      <w:r>
        <w:rPr>
          <w:rFonts w:ascii="Calibri" w:hAnsi="Calibri"/>
          <w:color w:val="243447"/>
          <w:sz w:val="20"/>
        </w:rPr>
        <w:t>There is a suspected security incident, lost device, credential exposure, or unsafe equipment.</w:t>
      </w:r>
    </w:p>
    <w:p>
      <w:pPr>
        <w:keepLines/>
        <w:numPr>
          <w:ilvl w:val="0"/>
          <w:numId w:val="11"/>
        </w:numPr>
        <w:spacing w:after="70" w:line="278" w:lineRule="auto"/>
        <w:ind w:left="540" w:hanging="271"/>
      </w:pPr>
      <w:r>
        <w:rPr>
          <w:rFonts w:ascii="Calibri" w:hAnsi="Calibri"/>
          <w:color w:val="243447"/>
          <w:sz w:val="20"/>
        </w:rPr>
        <w:t>A critical business service is unavailable for multiple users or a major deadline is at risk.</w:t>
      </w:r>
    </w:p>
    <w:p>
      <w:pPr>
        <w:keepLines/>
        <w:numPr>
          <w:ilvl w:val="0"/>
          <w:numId w:val="11"/>
        </w:numPr>
        <w:spacing w:after="70" w:line="278" w:lineRule="auto"/>
        <w:ind w:left="540" w:hanging="271"/>
      </w:pPr>
      <w:r>
        <w:rPr>
          <w:rFonts w:ascii="Calibri" w:hAnsi="Calibri"/>
          <w:color w:val="243447"/>
          <w:sz w:val="20"/>
        </w:rPr>
        <w:t>The ticket has exceeded its target without an update and business impact has materially increased.</w:t>
      </w:r>
    </w:p>
    <w:p>
      <w:pPr>
        <w:pStyle w:val="Heading2"/>
      </w:pPr>
      <w:r>
        <w:t>Information to Include</w:t>
      </w:r>
    </w:p>
    <w:p>
      <w:pPr>
        <w:keepLines/>
        <w:numPr>
          <w:ilvl w:val="0"/>
          <w:numId w:val="11"/>
        </w:numPr>
        <w:spacing w:after="70" w:line="278" w:lineRule="auto"/>
        <w:ind w:left="540" w:hanging="271"/>
      </w:pPr>
      <w:r>
        <w:rPr>
          <w:rFonts w:ascii="Calibri" w:hAnsi="Calibri"/>
          <w:color w:val="243447"/>
          <w:sz w:val="19"/>
        </w:rPr>
        <w:t>Clear title</w:t>
      </w:r>
    </w:p>
    <w:p>
      <w:pPr>
        <w:keepLines/>
        <w:numPr>
          <w:ilvl w:val="0"/>
          <w:numId w:val="11"/>
        </w:numPr>
        <w:spacing w:after="70" w:line="278" w:lineRule="auto"/>
        <w:ind w:left="540" w:hanging="271"/>
      </w:pPr>
      <w:r>
        <w:rPr>
          <w:rFonts w:ascii="Calibri" w:hAnsi="Calibri"/>
          <w:color w:val="243447"/>
          <w:sz w:val="19"/>
        </w:rPr>
        <w:t>Affected service and users</w:t>
      </w:r>
    </w:p>
    <w:p>
      <w:pPr>
        <w:keepLines/>
        <w:numPr>
          <w:ilvl w:val="0"/>
          <w:numId w:val="11"/>
        </w:numPr>
        <w:spacing w:after="70" w:line="278" w:lineRule="auto"/>
        <w:ind w:left="540" w:hanging="271"/>
      </w:pPr>
      <w:r>
        <w:rPr>
          <w:rFonts w:ascii="Calibri" w:hAnsi="Calibri"/>
          <w:color w:val="243447"/>
          <w:sz w:val="19"/>
        </w:rPr>
        <w:t>Business impact and deadline</w:t>
      </w:r>
    </w:p>
    <w:p>
      <w:pPr>
        <w:keepLines/>
        <w:numPr>
          <w:ilvl w:val="0"/>
          <w:numId w:val="11"/>
        </w:numPr>
        <w:spacing w:after="70" w:line="278" w:lineRule="auto"/>
        <w:ind w:left="540" w:hanging="271"/>
      </w:pPr>
      <w:r>
        <w:rPr>
          <w:rFonts w:ascii="Calibri" w:hAnsi="Calibri"/>
          <w:color w:val="243447"/>
          <w:sz w:val="19"/>
        </w:rPr>
        <w:t>Start time and recurrence</w:t>
      </w:r>
    </w:p>
    <w:p>
      <w:pPr>
        <w:keepLines/>
        <w:numPr>
          <w:ilvl w:val="0"/>
          <w:numId w:val="11"/>
        </w:numPr>
        <w:spacing w:after="70" w:line="278" w:lineRule="auto"/>
        <w:ind w:left="540" w:hanging="271"/>
      </w:pPr>
      <w:r>
        <w:rPr>
          <w:rFonts w:ascii="Calibri" w:hAnsi="Calibri"/>
          <w:color w:val="243447"/>
          <w:sz w:val="19"/>
        </w:rPr>
        <w:t>Asset tag</w:t>
      </w:r>
    </w:p>
    <w:p>
      <w:pPr>
        <w:keepLines/>
        <w:numPr>
          <w:ilvl w:val="0"/>
          <w:numId w:val="11"/>
        </w:numPr>
        <w:spacing w:after="70" w:line="278" w:lineRule="auto"/>
        <w:ind w:left="540" w:hanging="271"/>
      </w:pPr>
      <w:r>
        <w:rPr>
          <w:rFonts w:ascii="Calibri" w:hAnsi="Calibri"/>
          <w:color w:val="243447"/>
          <w:sz w:val="19"/>
        </w:rPr>
        <w:t>Exact error</w:t>
      </w:r>
    </w:p>
    <w:p>
      <w:pPr>
        <w:keepLines/>
        <w:numPr>
          <w:ilvl w:val="0"/>
          <w:numId w:val="11"/>
        </w:numPr>
        <w:spacing w:after="70" w:line="278" w:lineRule="auto"/>
        <w:ind w:left="540" w:hanging="271"/>
      </w:pPr>
      <w:r>
        <w:rPr>
          <w:rFonts w:ascii="Calibri" w:hAnsi="Calibri"/>
          <w:color w:val="243447"/>
          <w:sz w:val="19"/>
        </w:rPr>
        <w:t>Troubleshooting already attempted</w:t>
      </w:r>
    </w:p>
    <w:p>
      <w:pPr>
        <w:pStyle w:val="Heading2"/>
      </w:pPr>
      <w:r>
        <w:t>Search Terms</w:t>
      </w:r>
    </w:p>
    <w:p>
      <w:pPr>
        <w:spacing w:after="0"/>
      </w:pPr>
      <w:r>
        <w:rPr>
          <w:rFonts w:ascii="Calibri" w:hAnsi="Calibri"/>
          <w:i/>
          <w:color w:val="5B6770"/>
          <w:sz w:val="18"/>
        </w:rPr>
        <w:t>IT support, service desk, help desk, support ticket, incident, service request, escalation, outage, priority, asset tag, error message</w:t>
      </w:r>
    </w:p>
    <w:sectPr w:rsidR="00FC693F" w:rsidRPr="0006063C" w:rsidSect="00034616">
      <w:headerReference w:type="default" r:id="rId9"/>
      <w:footerReference w:type="default" r:id="rId10"/>
      <w:pgSz w:w="12240" w:h="15840"/>
      <w:pgMar w:top="1037" w:right="1440" w:bottom="1037" w:left="1440" w:header="432"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pPr>
    <w:r>
      <w:rPr>
        <w:rFonts w:ascii="Calibri" w:hAnsi="Calibri"/>
        <w:color w:val="5B6770"/>
        <w:sz w:val="16"/>
      </w:rPr>
      <w:t>Internal Use  |  Version 1.0  |  Demo content—validate local contact details before publishing</w:t>
    </w:r>
    <w:r>
      <w:tab/>
    </w:r>
  </w:p>
  <w:p>
    <w:pPr>
      <w:spacing w:before="0" w:after="0"/>
      <w:jc w:val="right"/>
    </w:pPr>
    <w:r>
      <w:rPr>
        <w:rFonts w:ascii="Calibri" w:hAnsi="Calibri"/>
        <w:color w:val="5B6770"/>
        <w:sz w:val="17"/>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123A63"/>
        <w:sz w:val="17"/>
      </w:rPr>
      <w:t>VITO'S IT KNOWLEDGE BASE  |  KB012</w:t>
    </w:r>
  </w:p>
  <w:p>
    <w:pPr>
      <w:spacing w:before="0" w:after="0"/>
    </w:pPr>
    <w:r>
      <w:rPr>
        <w:rFonts w:ascii="Calibri" w:hAnsi="Calibri"/>
        <w:color w:val="5B6770"/>
        <w:sz w:val="16"/>
      </w:rPr>
      <w:t>How to Contact IT Support and Submit a Useful Ticket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70"/>
        <w:spacing w:after="80" w:line="300" w:lineRule="auto"/>
      </w:pPr>
    </w:lvl>
  </w:abstractNum>
  <w:num w:numId="10">
    <w:abstractNumId w:val="9"/>
  </w:num>
  <w:abstractNum w:abstractNumId="10">
    <w:multiLevelType w:val="singleLevel"/>
    <w:lvl w:ilvl="0">
      <w:start w:val="1"/>
      <w:numFmt w:val="bullet"/>
      <w:lvlText w:val="•"/>
      <w:pPr>
        <w:tabs>
          <w:tab w:val="num" w:pos="540"/>
        </w:tabs>
        <w:ind w:left="540" w:hanging="270"/>
        <w:spacing w:after="80" w:line="300" w:lineRule="auto"/>
      </w:pPr>
      <w:rPr>
        <w:rFonts w:ascii="Calibri" w:hAnsi="Calibri"/>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83" w:lineRule="auto"/>
    </w:pPr>
    <w:rPr>
      <w:rFonts w:ascii="Calibri" w:hAnsi="Calibri"/>
      <w:color w:val="2434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23A63"/>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0078D4"/>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b/>
      <w:bCs/>
      <w:color w:val="123A6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92D7A47659A1049B16E60C644F03DEB" ma:contentTypeVersion="3" ma:contentTypeDescription="Create a new document." ma:contentTypeScope="" ma:versionID="7f4196d4dbd4317e40f21997ab660804">
  <xsd:schema xmlns:xsd="http://www.w3.org/2001/XMLSchema" xmlns:xs="http://www.w3.org/2001/XMLSchema" xmlns:p="http://schemas.microsoft.com/office/2006/metadata/properties" xmlns:ns2="f7318819-bfce-48b0-b71c-f3439db7f212" targetNamespace="http://schemas.microsoft.com/office/2006/metadata/properties" ma:root="true" ma:fieldsID="9dceb80588ff65aefbf5ebbc041e1870" ns2:_="">
    <xsd:import namespace="f7318819-bfce-48b0-b71c-f3439db7f21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18819-bfce-48b0-b71c-f3439db7f2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1E76247-A2A2-41FD-95DD-58CD5827DBDC}"/>
</file>

<file path=customXml/itemProps3.xml><?xml version="1.0" encoding="utf-8"?>
<ds:datastoreItem xmlns:ds="http://schemas.openxmlformats.org/officeDocument/2006/customXml" ds:itemID="{CC7C0571-C8DB-4F31-B2DA-7D61EFF4B941}"/>
</file>

<file path=customXml/itemProps4.xml><?xml version="1.0" encoding="utf-8"?>
<ds:datastoreItem xmlns:ds="http://schemas.openxmlformats.org/officeDocument/2006/customXml" ds:itemID="{5A320023-BFC0-4F81-97A0-6F987E6FA497}"/>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KB012 – How to Contact IT Support and Submit a Useful Ticket</dc:title>
  <dc:subject>Choose the correct Vito support channel, describe the business impact, and provide evidence that helps IT resolve the issue quickly.</dc:subject>
  <dc:creator>Vito IT Service Desk</dc:creator>
  <cp:keywords>IT support, service desk, help desk, support ticket, incident, service request, escalation, outage, priority, asset tag, error message</cp:keywords>
  <dc:description>Vito's IT Knowledge Base demo article. Validate local service names and contact routes before production publication.</dc:description>
  <cp:lastModifiedBy>Vito IT Service Desk</cp:lastModifiedBy>
  <cp:revision>1</cp:revision>
  <dcterms:created xsi:type="dcterms:W3CDTF">2013-12-23T23:15:00Z</dcterms:created>
  <dcterms:modified xsi:type="dcterms:W3CDTF">2013-12-23T23:15:00Z</dcterms:modified>
  <cp:category>IT Service Management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0x010100592D7A47659A1049B16E60C644F03DEB</vt:lpwstr>
  </property>
</Properties>
</file>