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40"/>
      </w:pPr>
      <w:r>
        <w:rPr>
          <w:rFonts w:ascii="Calibri" w:hAnsi="Calibri"/>
          <w:b/>
          <w:color w:val="0078D4"/>
          <w:sz w:val="18"/>
        </w:rPr>
        <w:t>ITKB201  •  IT OPERATIONS</w:t>
      </w:r>
    </w:p>
    <w:p>
      <w:pPr>
        <w:pStyle w:val="Title"/>
        <w:keepNext/>
        <w:spacing w:before="0" w:after="160"/>
        <w:pBdr>
          <w:bottom w:val="nil"/>
        </w:pBdr>
      </w:pPr>
      <w:r>
        <w:rPr>
          <w:rFonts w:ascii="Calibri" w:hAnsi="Calibri"/>
          <w:b/>
          <w:color w:val="123A63"/>
          <w:sz w:val="44"/>
        </w:rPr>
        <w:t>IT Emergency Contact List</w:t>
      </w:r>
    </w:p>
    <w:tbl>
      <w:tblPr>
        <w:tblW w:type="dxa" w:w="9360"/>
        <w:jc w:val="left"/>
        <w:tblLayout w:type="fixed"/>
        <w:tblLook w:firstColumn="1" w:firstRow="1" w:lastColumn="0" w:lastRow="0" w:noHBand="0" w:noVBand="1" w:val="04A0"/>
        <w:tblInd w:w="120" w:type="dxa"/>
        <w:tblBorders>
          <w:top w:val="single" w:sz="5" w:color="B8C4CE"/>
          <w:left w:val="single" w:sz="5" w:color="B8C4CE"/>
          <w:bottom w:val="single" w:sz="5" w:color="B8C4CE"/>
          <w:right w:val="single" w:sz="5" w:color="B8C4CE"/>
          <w:insideH w:val="single" w:sz="5" w:color="B8C4CE"/>
          <w:insideV w:val="single" w:sz="5" w:color="B8C4CE"/>
        </w:tblBorders>
      </w:tblPr>
      <w:tblGrid>
        <w:gridCol w:w="1650"/>
        <w:gridCol w:w="3030"/>
        <w:gridCol w:w="1650"/>
        <w:gridCol w:w="3030"/>
      </w:tblGrid>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Article ID</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ITKB201</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Version</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1.0</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Owner</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Vito IT Operations</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Audience</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IT operations and incident leads</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Category</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Major Incident Response</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Sensitivity</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Confidential personal contact data</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Last reviewed</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22 October 2026</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Review cycle</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Quarterly or after team changes</w:t>
            </w:r>
          </w:p>
        </w:tc>
      </w:tr>
      <w:tr>
        <w:trPr>
          <w:cantSplit/>
        </w:trPr>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Platform</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Vito IT services</w:t>
            </w:r>
          </w:p>
        </w:tc>
        <w:tc>
          <w:tcPr>
            <w:tcW w:type="dxa" w:w="1650"/>
            <w:tcMar>
              <w:top w:w="80" w:type="dxa"/>
              <w:start w:w="120" w:type="dxa"/>
              <w:bottom w:w="80" w:type="dxa"/>
              <w:end w:w="120" w:type="dxa"/>
            </w:tcMar>
            <w:vAlign w:val="center"/>
            <w:shd w:fill="EAF3FA"/>
          </w:tcPr>
          <w:p>
            <w:pPr>
              <w:spacing w:before="0" w:after="0" w:line="240" w:lineRule="auto"/>
            </w:pPr>
            <w:r/>
            <w:r>
              <w:rPr>
                <w:rFonts w:ascii="Calibri" w:hAnsi="Calibri"/>
                <w:b/>
                <w:color w:val="123A63"/>
                <w:sz w:val="17"/>
              </w:rPr>
              <w:t>Status</w:t>
            </w:r>
          </w:p>
        </w:tc>
        <w:tc>
          <w:tcPr>
            <w:tcW w:type="dxa" w:w="3030"/>
            <w:tcMar>
              <w:top w:w="80" w:type="dxa"/>
              <w:start w:w="120" w:type="dxa"/>
              <w:bottom w:w="80" w:type="dxa"/>
              <w:end w:w="120" w:type="dxa"/>
            </w:tcMar>
            <w:vAlign w:val="center"/>
            <w:shd w:fill="FFFFFF"/>
          </w:tcPr>
          <w:p>
            <w:pPr>
              <w:spacing w:before="0" w:after="0" w:line="240" w:lineRule="auto"/>
            </w:pPr>
            <w:r/>
            <w:r>
              <w:rPr>
                <w:rFonts w:ascii="Calibri" w:hAnsi="Calibri"/>
                <w:color w:val="243447"/>
                <w:sz w:val="17"/>
              </w:rPr>
              <w:t>Operational reference</w:t>
            </w:r>
          </w:p>
        </w:tc>
      </w:tr>
    </w:tbl>
    <w:p>
      <w:pPr>
        <w:spacing w:before="80" w:after="140"/>
        <w:shd w:fill="F5F9FC"/>
        <w:pBdr>
          <w:left w:val="single" w:sz="18" w:space="6" w:color="0078D4"/>
        </w:pBdr>
      </w:pPr>
      <w:r>
        <w:rPr>
          <w:rFonts w:ascii="Calibri" w:hAnsi="Calibri"/>
          <w:b/>
          <w:color w:val="123A63"/>
          <w:sz w:val="18"/>
        </w:rPr>
        <w:t xml:space="preserve">Search summary: </w:t>
      </w:r>
      <w:r>
        <w:rPr>
          <w:rFonts w:ascii="Calibri" w:hAnsi="Calibri"/>
          <w:color w:val="243447"/>
          <w:sz w:val="18"/>
        </w:rPr>
        <w:t>IT emergency contacts for major incidents, VPN outages, account lockouts, and security escalation, including named owners, work email addresses, and personal emergency mobile numbers.</w:t>
      </w:r>
    </w:p>
    <w:p>
      <w:pPr>
        <w:pStyle w:val="Heading1"/>
      </w:pPr>
      <w:r>
        <w:t>Overview</w:t>
      </w:r>
    </w:p>
    <w:p>
      <w:pPr>
        <w:spacing w:after="80" w:line="276" w:lineRule="auto"/>
      </w:pPr>
      <w:r>
        <w:t>Use this directory for major IT incidents and after-hours escalation. Check the current on-call rota before calling. The contacts below are service owners; they are not necessarily all on duty. Routine employee requests should use the IT Service Desk route in KB012.</w:t>
      </w:r>
    </w:p>
    <w:p>
      <w:pPr>
        <w:pStyle w:val="Heading1"/>
      </w:pPr>
      <w:r>
        <w:t>Emergency Contact Directory</w:t>
      </w:r>
    </w:p>
    <w:tbl>
      <w:tblPr>
        <w:tblW w:type="dxa" w:w="9360"/>
        <w:tblLayout w:type="fixed"/>
        <w:tblLook w:firstColumn="1" w:firstRow="1" w:lastColumn="0" w:lastRow="0" w:noHBand="0" w:noVBand="1" w:val="04A0"/>
        <w:jc w:val="left"/>
        <w:tblInd w:w="120" w:type="dxa"/>
        <w:tblBorders>
          <w:top w:val="single" w:sz="5" w:color="B8C4CE"/>
          <w:left w:val="single" w:sz="5" w:color="B8C4CE"/>
          <w:bottom w:val="single" w:sz="5" w:color="B8C4CE"/>
          <w:right w:val="single" w:sz="5" w:color="B8C4CE"/>
          <w:insideH w:val="single" w:sz="5" w:color="B8C4CE"/>
          <w:insideV w:val="single" w:sz="5" w:color="B8C4CE"/>
        </w:tblBorders>
      </w:tblPr>
      <w:tblGrid>
        <w:gridCol w:w="1800"/>
        <w:gridCol w:w="2110"/>
        <w:gridCol w:w="3000"/>
        <w:gridCol w:w="2450"/>
      </w:tblGrid>
      <w:tr>
        <w:trPr>
          <w:cantSplit/>
          <w:tblHeader w:val="true"/>
          <w:cantSplit/>
          <w:tblHeader/>
        </w:trPr>
        <w:tc>
          <w:tcPr>
            <w:tcW w:type="dxa" w:w="1800"/>
            <w:tcMar>
              <w:top w:w="80" w:type="dxa"/>
              <w:start w:w="120" w:type="dxa"/>
              <w:bottom w:w="80" w:type="dxa"/>
              <w:end w:w="120" w:type="dxa"/>
            </w:tcMar>
            <w:vAlign w:val="center"/>
            <w:shd w:fill="123A63"/>
          </w:tcPr>
          <w:p>
            <w:pPr>
              <w:spacing w:after="0"/>
            </w:pPr>
            <w:r/>
            <w:r>
              <w:rPr>
                <w:rFonts w:ascii="Calibri" w:hAnsi="Calibri"/>
                <w:b/>
                <w:color w:val="FFFFFF"/>
                <w:sz w:val="18"/>
              </w:rPr>
              <w:t>Name</w:t>
            </w:r>
          </w:p>
        </w:tc>
        <w:tc>
          <w:tcPr>
            <w:tcW w:type="dxa" w:w="2110"/>
            <w:tcMar>
              <w:top w:w="80" w:type="dxa"/>
              <w:start w:w="120" w:type="dxa"/>
              <w:bottom w:w="80" w:type="dxa"/>
              <w:end w:w="120" w:type="dxa"/>
            </w:tcMar>
            <w:vAlign w:val="center"/>
            <w:shd w:fill="123A63"/>
          </w:tcPr>
          <w:p>
            <w:pPr>
              <w:spacing w:after="0"/>
            </w:pPr>
            <w:r/>
            <w:r>
              <w:rPr>
                <w:rFonts w:ascii="Calibri" w:hAnsi="Calibri"/>
                <w:b/>
                <w:color w:val="FFFFFF"/>
                <w:sz w:val="18"/>
              </w:rPr>
              <w:t>Responsibility</w:t>
            </w:r>
          </w:p>
        </w:tc>
        <w:tc>
          <w:tcPr>
            <w:tcW w:type="dxa" w:w="3000"/>
            <w:tcMar>
              <w:top w:w="80" w:type="dxa"/>
              <w:start w:w="120" w:type="dxa"/>
              <w:bottom w:w="80" w:type="dxa"/>
              <w:end w:w="120" w:type="dxa"/>
            </w:tcMar>
            <w:vAlign w:val="center"/>
            <w:shd w:fill="123A63"/>
          </w:tcPr>
          <w:p>
            <w:pPr>
              <w:spacing w:after="0"/>
            </w:pPr>
            <w:r/>
            <w:r>
              <w:rPr>
                <w:rFonts w:ascii="Calibri" w:hAnsi="Calibri"/>
                <w:b/>
                <w:color w:val="FFFFFF"/>
                <w:sz w:val="18"/>
              </w:rPr>
              <w:t>Work email</w:t>
            </w:r>
          </w:p>
        </w:tc>
        <w:tc>
          <w:tcPr>
            <w:tcW w:type="dxa" w:w="2450"/>
            <w:tcMar>
              <w:top w:w="80" w:type="dxa"/>
              <w:start w:w="120" w:type="dxa"/>
              <w:bottom w:w="80" w:type="dxa"/>
              <w:end w:w="120" w:type="dxa"/>
            </w:tcMar>
            <w:vAlign w:val="center"/>
            <w:shd w:fill="123A63"/>
          </w:tcPr>
          <w:p>
            <w:pPr>
              <w:spacing w:after="0"/>
            </w:pPr>
            <w:r/>
            <w:r>
              <w:rPr>
                <w:rFonts w:ascii="Calibri" w:hAnsi="Calibri"/>
                <w:b/>
                <w:color w:val="FFFFFF"/>
                <w:sz w:val="18"/>
              </w:rPr>
              <w:t>Personal emergency mobile</w:t>
            </w:r>
          </w:p>
        </w:tc>
      </w:tr>
      <w:tr>
        <w:trPr>
          <w:cantSplit/>
          <w:cantSplit/>
        </w:trPr>
        <w:tc>
          <w:tcPr>
            <w:tcW w:type="dxa" w:w="180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Maya Chen</w:t>
            </w:r>
          </w:p>
        </w:tc>
        <w:tc>
          <w:tcPr>
            <w:tcW w:type="dxa" w:w="211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IT Operations</w:t>
              <w:br/>
              <w:t>Incident coordination</w:t>
            </w:r>
          </w:p>
        </w:tc>
        <w:tc>
          <w:tcPr>
            <w:tcW w:type="dxa" w:w="300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maya.chen@vitos.example.com</w:t>
            </w:r>
          </w:p>
        </w:tc>
        <w:tc>
          <w:tcPr>
            <w:tcW w:type="dxa" w:w="24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+1 (202) 555-0101</w:t>
            </w:r>
          </w:p>
        </w:tc>
      </w:tr>
      <w:tr>
        <w:trPr>
          <w:cantSplit/>
          <w:cantSplit/>
        </w:trPr>
        <w:tc>
          <w:tcPr>
            <w:tcW w:type="dxa" w:w="180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Daniel Brooks</w:t>
            </w:r>
          </w:p>
        </w:tc>
        <w:tc>
          <w:tcPr>
            <w:tcW w:type="dxa" w:w="211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Network Services</w:t>
              <w:br/>
              <w:t>VPN and connectivity</w:t>
            </w:r>
          </w:p>
        </w:tc>
        <w:tc>
          <w:tcPr>
            <w:tcW w:type="dxa" w:w="300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daniel.brooks@vitos.example.com</w:t>
            </w:r>
          </w:p>
        </w:tc>
        <w:tc>
          <w:tcPr>
            <w:tcW w:type="dxa" w:w="24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+1 (202) 555-0102</w:t>
            </w:r>
          </w:p>
        </w:tc>
      </w:tr>
      <w:tr>
        <w:trPr>
          <w:cantSplit/>
          <w:cantSplit/>
        </w:trPr>
        <w:tc>
          <w:tcPr>
            <w:tcW w:type="dxa" w:w="180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Priya Shah</w:t>
            </w:r>
          </w:p>
        </w:tc>
        <w:tc>
          <w:tcPr>
            <w:tcW w:type="dxa" w:w="211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Identity Services</w:t>
              <w:br/>
              <w:t>Sign in and MFA</w:t>
            </w:r>
          </w:p>
        </w:tc>
        <w:tc>
          <w:tcPr>
            <w:tcW w:type="dxa" w:w="300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priya.shah@vitos.example.com</w:t>
            </w:r>
          </w:p>
        </w:tc>
        <w:tc>
          <w:tcPr>
            <w:tcW w:type="dxa" w:w="24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+1 (202) 555-0103</w:t>
            </w:r>
          </w:p>
        </w:tc>
      </w:tr>
      <w:tr>
        <w:trPr>
          <w:cantSplit/>
          <w:cantSplit/>
        </w:trPr>
        <w:tc>
          <w:tcPr>
            <w:tcW w:type="dxa" w:w="180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Ethan Park</w:t>
            </w:r>
          </w:p>
        </w:tc>
        <w:tc>
          <w:tcPr>
            <w:tcW w:type="dxa" w:w="211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Endpoint Services</w:t>
              <w:br/>
              <w:t>Managed devices</w:t>
            </w:r>
          </w:p>
        </w:tc>
        <w:tc>
          <w:tcPr>
            <w:tcW w:type="dxa" w:w="300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ethan.park@vitos.example.com</w:t>
            </w:r>
          </w:p>
        </w:tc>
        <w:tc>
          <w:tcPr>
            <w:tcW w:type="dxa" w:w="24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+1 (202) 555-0104</w:t>
            </w:r>
          </w:p>
        </w:tc>
      </w:tr>
      <w:tr>
        <w:trPr>
          <w:cantSplit/>
          <w:cantSplit/>
        </w:trPr>
        <w:tc>
          <w:tcPr>
            <w:tcW w:type="dxa" w:w="1800"/>
            <w:shd w:fill="FFFFFF"/>
            <w:tcMar>
              <w:top w:w="80" w:type="dxa"/>
              <w:start w:w="120" w:type="dxa"/>
              <w:bottom w:w="80" w:type="dxa"/>
              <w:end w:w="120" w:type="dxa"/>
            </w:tcMar>
            <w:vAlign w:val="center"/>
          </w:tcPr>
          <w:p>
            <w:pPr>
              <w:spacing w:after="0" w:line="252" w:lineRule="auto"/>
            </w:pPr>
            <w:r/>
            <w:r>
              <w:rPr>
                <w:rFonts w:ascii="Calibri" w:hAnsi="Calibri"/>
                <w:b/>
                <w:color w:val="243447"/>
                <w:sz w:val="17"/>
              </w:rPr>
              <w:t>Sofia Rivera</w:t>
            </w:r>
          </w:p>
        </w:tc>
        <w:tc>
          <w:tcPr>
            <w:tcW w:type="dxa" w:w="211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Security Operations</w:t>
              <w:br/>
              <w:t>Security incidents</w:t>
            </w:r>
          </w:p>
        </w:tc>
        <w:tc>
          <w:tcPr>
            <w:tcW w:type="dxa" w:w="300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sofia.rivera@vitos.example.com</w:t>
            </w:r>
          </w:p>
        </w:tc>
        <w:tc>
          <w:tcPr>
            <w:tcW w:type="dxa" w:w="2450"/>
            <w:shd w:fill="FFFFFF"/>
            <w:tcMar>
              <w:top w:w="80" w:type="dxa"/>
              <w:start w:w="120" w:type="dxa"/>
              <w:bottom w:w="80" w:type="dxa"/>
              <w:end w:w="120" w:type="dxa"/>
            </w:tcMar>
            <w:vAlign w:val="center"/>
          </w:tcPr>
          <w:p>
            <w:pPr>
              <w:spacing w:after="0" w:line="252" w:lineRule="auto"/>
            </w:pPr>
            <w:r/>
            <w:r>
              <w:rPr>
                <w:rFonts w:ascii="Calibri" w:hAnsi="Calibri"/>
                <w:b w:val="0"/>
                <w:color w:val="243447"/>
                <w:sz w:val="17"/>
              </w:rPr>
              <w:t>+1 (202) 555-0105</w:t>
            </w:r>
          </w:p>
        </w:tc>
      </w:tr>
      <w:tr>
        <w:trPr>
          <w:cantSplit/>
          <w:cantSplit/>
        </w:trPr>
        <w:tc>
          <w:tcPr>
            <w:tcW w:type="dxa" w:w="1800"/>
            <w:shd w:fill="F5F9FC"/>
            <w:tcMar>
              <w:top w:w="80" w:type="dxa"/>
              <w:start w:w="120" w:type="dxa"/>
              <w:bottom w:w="80" w:type="dxa"/>
              <w:end w:w="120" w:type="dxa"/>
            </w:tcMar>
            <w:vAlign w:val="center"/>
          </w:tcPr>
          <w:p>
            <w:pPr>
              <w:spacing w:after="0" w:line="252" w:lineRule="auto"/>
            </w:pPr>
            <w:r/>
            <w:r>
              <w:rPr>
                <w:rFonts w:ascii="Calibri" w:hAnsi="Calibri"/>
                <w:b/>
                <w:color w:val="243447"/>
                <w:sz w:val="17"/>
              </w:rPr>
              <w:t>Noah Turner</w:t>
            </w:r>
          </w:p>
        </w:tc>
        <w:tc>
          <w:tcPr>
            <w:tcW w:type="dxa" w:w="211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Microsoft 365</w:t>
              <w:br/>
              <w:t>SharePoint and email</w:t>
            </w:r>
          </w:p>
        </w:tc>
        <w:tc>
          <w:tcPr>
            <w:tcW w:type="dxa" w:w="300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noah.turner@vitos.example.com</w:t>
            </w:r>
          </w:p>
        </w:tc>
        <w:tc>
          <w:tcPr>
            <w:tcW w:type="dxa" w:w="2450"/>
            <w:shd w:fill="F5F9FC"/>
            <w:tcMar>
              <w:top w:w="80" w:type="dxa"/>
              <w:start w:w="120" w:type="dxa"/>
              <w:bottom w:w="80" w:type="dxa"/>
              <w:end w:w="120" w:type="dxa"/>
            </w:tcMar>
            <w:vAlign w:val="center"/>
          </w:tcPr>
          <w:p>
            <w:pPr>
              <w:spacing w:after="0" w:line="252" w:lineRule="auto"/>
            </w:pPr>
            <w:r/>
            <w:r>
              <w:rPr>
                <w:rFonts w:ascii="Calibri" w:hAnsi="Calibri"/>
                <w:b w:val="0"/>
                <w:color w:val="243447"/>
                <w:sz w:val="17"/>
              </w:rPr>
              <w:t>+1 (202) 555-0106</w:t>
            </w:r>
          </w:p>
        </w:tc>
      </w:tr>
    </w:tbl>
    <w:p>
      <w:pPr>
        <w:pStyle w:val="Heading1"/>
      </w:pPr>
      <w:r>
        <w:t>Escalation Procedure</w:t>
      </w:r>
    </w:p>
    <w:p>
      <w:pPr>
        <w:keepLines/>
        <w:numPr>
          <w:ilvl w:val="0"/>
          <w:numId w:val="10"/>
        </w:numPr>
        <w:spacing w:after="80" w:line="283" w:lineRule="auto"/>
        <w:ind w:left="540" w:hanging="271"/>
      </w:pPr>
      <w:r>
        <w:rPr>
          <w:rFonts w:ascii="Calibri" w:hAnsi="Calibri"/>
          <w:b/>
          <w:color w:val="243447"/>
          <w:sz w:val="20"/>
        </w:rPr>
        <w:t xml:space="preserve">Record the incident. </w:t>
      </w:r>
      <w:r>
        <w:rPr>
          <w:rFonts w:ascii="Calibri" w:hAnsi="Calibri"/>
          <w:color w:val="243447"/>
          <w:sz w:val="20"/>
        </w:rPr>
        <w:t xml:space="preserve">Include the affected service, business impact, start time, and callback number.</w:t>
      </w:r>
    </w:p>
    <w:p>
      <w:pPr>
        <w:keepLines/>
        <w:numPr>
          <w:ilvl w:val="0"/>
          <w:numId w:val="10"/>
        </w:numPr>
        <w:spacing w:after="80" w:line="283" w:lineRule="auto"/>
        <w:ind w:left="540" w:hanging="271"/>
      </w:pPr>
      <w:r>
        <w:rPr>
          <w:rFonts w:ascii="Calibri" w:hAnsi="Calibri"/>
          <w:b/>
          <w:color w:val="243447"/>
          <w:sz w:val="20"/>
        </w:rPr>
        <w:t xml:space="preserve">Contact the on-call owner. </w:t>
      </w:r>
      <w:r>
        <w:rPr>
          <w:rFonts w:ascii="Calibri" w:hAnsi="Calibri"/>
          <w:color w:val="243447"/>
          <w:sz w:val="20"/>
        </w:rPr>
        <w:t xml:space="preserve">Use personal mobile numbers only for a major incident or approved after-hours escalation.</w:t>
      </w:r>
    </w:p>
    <w:p>
      <w:pPr>
        <w:keepLines/>
        <w:numPr>
          <w:ilvl w:val="0"/>
          <w:numId w:val="10"/>
        </w:numPr>
        <w:spacing w:after="80" w:line="283" w:lineRule="auto"/>
        <w:ind w:left="540" w:hanging="271"/>
      </w:pPr>
      <w:r>
        <w:rPr>
          <w:rFonts w:ascii="Calibri" w:hAnsi="Calibri"/>
          <w:b/>
          <w:color w:val="243447"/>
          <w:sz w:val="20"/>
        </w:rPr>
        <w:t xml:space="preserve">Escalate if unanswered after 10 minutes. </w:t>
      </w:r>
      <w:r>
        <w:rPr>
          <w:rFonts w:ascii="Calibri" w:hAnsi="Calibri"/>
          <w:color w:val="243447"/>
          <w:sz w:val="20"/>
        </w:rPr>
        <w:t xml:space="preserve">Contact Maya Chen for coordination; involve Sofia Rivera for suspected security incidents.</w:t>
      </w:r>
    </w:p>
    <w:p>
      <w:pPr>
        <w:spacing w:after="80" w:line="276" w:lineRule="auto"/>
      </w:pPr>
      <w:r>
        <w:t>For IT operations and incident leads only. Keep this directory in the IT team library. Do not copy personal numbers into public KB articles, external messages, or general support tickets. Report contact changes to IT Operations.</w:t>
      </w:r>
    </w:p>
    <w:sectPr w:rsidR="00FC693F" w:rsidRPr="0006063C" w:rsidSect="00034616">
      <w:headerReference w:type="default" r:id="rId9"/>
      <w:footerReference w:type="default" r:id="rId10"/>
      <w:pgSz w:w="12240" w:h="15840"/>
      <w:pgMar w:top="1037" w:right="1440" w:bottom="1037" w:left="1440"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Calibri" w:hAnsi="Calibri"/>
        <w:color w:val="5B6770"/>
        <w:sz w:val="16"/>
      </w:rPr>
      <w:t>IT Operations Only  |  Version 1.0  |  Personal contact information</w:t>
    </w:r>
    <w:r>
      <w:tab/>
    </w:r>
  </w:p>
  <w:p>
    <w:pPr>
      <w:spacing w:before="0" w:after="0"/>
      <w:jc w:val="right"/>
    </w:pPr>
    <w:r>
      <w:rPr>
        <w:rFonts w:ascii="Calibri" w:hAnsi="Calibri"/>
        <w:color w:val="5B6770"/>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123A63"/>
        <w:sz w:val="17"/>
      </w:rPr>
      <w:t>VITO'S IT KNOWLEDGE BASE  |  ITKB201</w:t>
    </w:r>
  </w:p>
  <w:p>
    <w:pPr>
      <w:spacing w:before="0" w:after="0"/>
    </w:pPr>
    <w:r>
      <w:rPr>
        <w:rFonts w:ascii="Calibri" w:hAnsi="Calibri"/>
        <w:color w:val="5B6770"/>
        <w:sz w:val="16"/>
      </w:rPr>
      <w:t>IT Emergency Contact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Calibri" w:hAnsi="Calibri"/>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23A63"/>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78D4"/>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23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92D7A47659A1049B16E60C644F03DEB" ma:contentTypeVersion="3" ma:contentTypeDescription="Create a new document." ma:contentTypeScope="" ma:versionID="7f4196d4dbd4317e40f21997ab660804">
  <xsd:schema xmlns:xsd="http://www.w3.org/2001/XMLSchema" xmlns:xs="http://www.w3.org/2001/XMLSchema" xmlns:p="http://schemas.microsoft.com/office/2006/metadata/properties" xmlns:ns2="f7318819-bfce-48b0-b71c-f3439db7f212" targetNamespace="http://schemas.microsoft.com/office/2006/metadata/properties" ma:root="true" ma:fieldsID="9dceb80588ff65aefbf5ebbc041e1870" ns2:_="">
    <xsd:import namespace="f7318819-bfce-48b0-b71c-f3439db7f21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18819-bfce-48b0-b71c-f3439db7f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E76247-A2A2-41FD-95DD-58CD5827DBDC}"/>
</file>

<file path=customXml/itemProps3.xml><?xml version="1.0" encoding="utf-8"?>
<ds:datastoreItem xmlns:ds="http://schemas.openxmlformats.org/officeDocument/2006/customXml" ds:itemID="{CC7C0571-C8DB-4F31-B2DA-7D61EFF4B941}"/>
</file>

<file path=customXml/itemProps4.xml><?xml version="1.0" encoding="utf-8"?>
<ds:datastoreItem xmlns:ds="http://schemas.openxmlformats.org/officeDocument/2006/customXml" ds:itemID="{5A320023-BFC0-4F81-97A0-6F987E6FA49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Emergency Contact List</dc:title>
  <dc:subject>ITKB201 IT emergency escalation directory</dc:subject>
  <dc:creator>Vito IT Service Desk</dc:creator>
  <cp:keywords>IT support, service desk, help desk, support ticket, incident, service request, escalation, outage, priority, asset tag, error message</cp:keywords>
  <dc:description>Vito's IT Knowledge Base demo article. Validate local service names and contact routes before production publication.</dc:description>
  <cp:lastModifiedBy>Vito IT Service Desk</cp:lastModifiedBy>
  <cp:revision>1</cp:revision>
  <dcterms:created xsi:type="dcterms:W3CDTF">2013-12-23T23:15:00Z</dcterms:created>
  <dcterms:modified xsi:type="dcterms:W3CDTF">2013-12-23T23:15:00Z</dcterms:modified>
  <cp:category>IT Service Management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0x010100592D7A47659A1049B16E60C644F03DEB</vt:lpwstr>
  </property>
</Properties>
</file>