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highly accurate: AUROC 0.95 on held-out scenarios for Qwen3-32B and 0.91 for gpt-oss-20b, above a Jev decision-model monitor given the same conversation (0.74 and 0.27). On gpt-oss-20b, a probe on the streaming reasoning reaches 0.93 and holds at 0.91 on fresh episodes. Predictability forms a ladder: the nearer the act, the sharper the signal. For oversight, monitors need not just filter a harmful action once written: activation probes can flag the call about to give in before it acts, and, scaled to subtler collusion, could stop recruitment before it spreads between agents.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0.95 on Qwen3-32B and 0.91 on gpt-oss-20b, above a decision-model monitor (Jev) given the same input (0.74 and 0.27). A probe on gpt-oss-20b’s streaming reasoning reaches 0.93 and held on new episodes under a plan fixed in advance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every negative call is also pressured, and the result holds under keyword, placebo, censoring and workflow-position checks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For round-level monitors, the question and the input matter:</w:t>
      </w:r>
      <w:r>
        <w:rPr>
          <w:rFonts w:ascii="XCharter" w:hAnsi="XCharter" w:cs="XCharter" w:eastAsia="XCharter"/>
          <w:sz w:val="22"/>
        </w:rPr>
        <w:t xml:space="preserve"> </w:t>
      </w:r>
      <w:r>
        <w:rPr>
          <w:rFonts w:ascii="XCharter" w:hAnsi="XCharter" w:cs="XCharter" w:eastAsia="XCharter"/>
          <w:sz w:val="22"/>
        </w:rPr>
        <w:t xml:space="preserve">the strongest text monitor works best asked to forecast and shown the peer’s messages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every call we score is already exposed to the value and to the same pressure, and our target is never told to collude, so a probe must predict which call complies,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 an activation monitor with LLM outcome forecasts on AgentDojo. Streaming classifiers score a model’s output token by token and stop it at the first flag</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several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it also carried a single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adds each episode’s first public-emission call (4,844 calls, 101 give-ins).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r>
        <w:rPr>
          <w:rFonts w:ascii="XCharter" w:hAnsi="XCharter" w:cs="XCharter" w:eastAsia="XCharter"/>
          <w:sz w:val="22"/>
        </w:rPr>
        <w:t xml:space="preserve"> </w:t>
      </w:r>
      <w:r>
        <w:rPr>
          <w:rFonts w:ascii="XCharter" w:hAnsi="XCharter" w:cs="XCharter" w:eastAsia="XCharter"/>
          <w:b/>
          <w:bCs/>
          <w:sz w:val="22"/>
        </w:rPr>
        <w:t xml:space="preserve">k calls ahead</w:t>
      </w:r>
      <w:r>
        <w:rPr>
          <w:rFonts w:ascii="XCharter" w:hAnsi="XCharter" w:cs="XCharter" w:eastAsia="XCharter"/>
          <w:sz w:val="22"/>
        </w:rPr>
        <w:t xml:space="preserve"> </w:t>
      </w:r>
      <w:r>
        <w:rPr>
          <w:rFonts w:ascii="XCharter" w:hAnsi="XCharter" w:cs="XCharter" w:eastAsia="XCharter"/>
          <w:sz w:val="22"/>
        </w:rPr>
        <w:t xml:space="preserve">marks the call k calls before that one, with the leaking call itself excluded.</w:t>
      </w:r>
    </w:p>
    <w:p>
      <w:pPr>
        <w:pStyle w:val="FirstParagraph"/>
        <w:widowControl/>
        <w:spacing w:after="0" w:line="259" w:lineRule="auto"/>
        <w:ind w:firstLine="0"/>
        <w:jc w:val="both"/>
      </w:pPr>
      <w:r>
        <w:rPr>
          <w:rFonts w:ascii="XCharter" w:hAnsi="XCharter" w:cs="XCharter" w:eastAsia="XCharter"/>
          <w:sz w:val="22"/>
        </w:rPr>
        <w:t xml:space="preserve">The outcome is the paper’s</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except for the gpt-oss-20b per-call label, which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w:t>
      </w:r>
      <w:r>
        <w:rPr>
          <w:rFonts w:ascii="XCharter" w:hAnsi="XCharter" w:cs="XCharter" w:eastAsia="XCharter"/>
          <w:sz w:val="22"/>
        </w:rPr>
        <w:t xml:space="preserve">of the value in the answer or tool arguments (143 of its 146 are tool-argument writes;</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The rules differ because gpt-oss-20b almost always writes the value to a file before it posts it, and its analysis ends at that first public emission, so only 3 of its scored calls are first channel posts; Qwen3-32B uses the give-in rule.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commercial models that return a probability over fixed options instead of text (Jev 1.14 from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from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is given the same conversation and tool results as the last-prompt probe and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targets in the same situation.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throughout,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 Appendices E, H and L.</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saw the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Qwen3-32B gives in on 101 of the 241 scored recruiting episodes (42%; per-scenario rates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control and target-alone episodes never give in (0 of 66 and 0 of 25). gpt-oss-20b gives in on 128 of 300 recruiting episodes,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ranks the leaking call far above the others on held-out scenarios: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121 leaking), before the call generates any token. Jev given the same conversation, tool results and question scores lower on both models: 0.74 on Qwen3-32B (probe minus Jev +0.21 [0.17, 0.28]) and 0.27 on gpt-oss-20b (+0.64 [0.56, 0.71]), where it ranks leaking calls below the rest and flags nearly every pressured call (98% of leaking calls, 87% of refusing calls); reversed post hoc it would score 0.73, still below the probe (+0.18 [0.12, 0.23]). These results bound this judge, question and access, not what the text contains. On gpt-oss-20b, the reasoning probe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and with the alarm cutoff set for 5% of training-side control calls, then measured on held-out calls, it catches 85% of leaking calls against 56% for the last-prompt probe, at 4% against 2% of calls in refusing episodes; Jev reading the same reasoning scores 0.60, and on Qwen3-32B a fixed keyword rule on the latest incoming message 0.64. Frozen with its cutoff before 84 new gpt-oss-20b episodes were collected, the reasoning probe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on them (594 calls, 26 leaking), meeting its pre-stated criterion; it caught 14 of the 26 at 2.4% of refusing calls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2"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gpt-oss-20b positives are any public emission (1,995 calls with reasoning, 121 positive); Qwen3-32B positives use the give-in rule (4,844 calls, 101 positive). The frozen row is the reasoning probe on 84 new episodes. Jev is given either the same conversation and tool results as the last-prompt probe (without earlier same-turn private reasoning) or the call’s reasoning.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0"/>
    </w:p>
    <w:p>
      <w:pPr>
        <w:pStyle w:val="BodyText"/>
        <w:widowControl/>
        <w:spacing w:after="0" w:line="259" w:lineRule="auto"/>
        <w:ind w:firstLine="0"/>
        <w:jc w:val="both"/>
      </w:pPr>
      <w:r>
        <w:rPr>
          <w:rFonts w:ascii="XCharter" w:hAnsi="XCharter" w:cs="XCharter" w:eastAsia="XCharter"/>
          <w:sz w:val="22"/>
        </w:rPr>
        <w:t xml:space="preserve">The warning is about the call itself: one call earlier, the last-prompt probe scores 0.71 on Qwen3-32B and 0.62 on gpt-oss-20b. On gpt-oss-20b, retraining the round-level last-prompt probe on the per-call label lifts it from 0.49 to 0.91, so the change of question does most of the work, and reading the reasoning adds a modest gain (+0.03 held-out, with an interval reaching zero; +0.07 pooled).</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b21dc55ab05074ea0fc7e23d7e979da2ff589df"/>
      <w:r>
        <w:rPr>
          <w:rFonts w:ascii="Old Standard TT" w:hAnsi="Old Standard TT"/>
          <w:b/>
          <w:sz w:val="26"/>
        </w:rPr>
        <w:t xml:space="preserve">4.3 The ranking survives the obvious shortcuts</w:t>
      </w:r>
      <w:bookmarkEnd w:id="31"/>
    </w:p>
    <w:p>
      <w:pPr>
        <w:pStyle w:val="FirstParagraph"/>
        <w:widowControl/>
        <w:spacing w:after="0" w:line="259" w:lineRule="auto"/>
        <w:ind w:firstLine="0"/>
        <w:jc w:val="both"/>
      </w:pPr>
      <w:r>
        <w:rPr>
          <w:rFonts w:ascii="XCharter" w:hAnsi="XCharter" w:cs="XCharter" w:eastAsia="XCharter"/>
          <w:i/>
          <w:iCs/>
          <w:sz w:val="22"/>
        </w:rPr>
        <w:t xml:space="preserve">Survives the pressure control:</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and on gpt-oss-20b a placebo on calls before the ask scores 0.46 to 0.49.</w:t>
      </w:r>
      <w:r>
        <w:rPr>
          <w:rFonts w:ascii="XCharter" w:hAnsi="XCharter" w:cs="XCharter" w:eastAsia="XCharter"/>
          <w:sz w:val="22"/>
        </w:rPr>
        <w:t xml:space="preserve"> </w:t>
      </w:r>
      <w:r>
        <w:rPr>
          <w:rFonts w:ascii="XCharter" w:hAnsi="XCharter" w:cs="XCharter" w:eastAsia="XCharter"/>
          <w:i/>
          <w:iCs/>
          <w:sz w:val="22"/>
        </w:rPr>
        <w:t xml:space="preserve">Survives the secret-string control:</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cutting the reasoning at the first mention leaves 0.96, and keyword rules score 0.40 to 0.48.</w:t>
      </w:r>
      <w:r>
        <w:rPr>
          <w:rFonts w:ascii="XCharter" w:hAnsi="XCharter" w:cs="XCharter" w:eastAsia="XCharter"/>
          <w:sz w:val="22"/>
        </w:rPr>
        <w:t xml:space="preserve"> </w:t>
      </w:r>
      <w:r>
        <w:rPr>
          <w:rFonts w:ascii="XCharter" w:hAnsi="XCharter" w:cs="XCharter" w:eastAsia="XCharter"/>
          <w:i/>
          <w:iCs/>
          <w:sz w:val="22"/>
        </w:rPr>
        <w:t xml:space="preserve">Not the read-step indicator alone:</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(intervals exclude zero); among calls right after the read they still score 0.93 on gpt-oss-20b and 0.79 on Qwen3-32B. On gpt-oss-20b, a probe on the incoming peer message and tool results alone reaches 0.93 (one seed), so the signal may largely reflect what has just arrived; what it represents is not established. Per-call alarms are not cheap: at the 5% control-call cutoff, 41% of refusing gpt-oss-20b episodes see at least one reasoning-probe alarm, and 11% of refusing Qwen3-32B calls alarm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These matched rungs are post hoc and include the give-in calls, so the Qwen3-32B near-term rung (0.67) sits above the round-level 0.58 on pre-emission calls. Only the original round-level results below were fixed in advance and confirmed on new episodes: predictability and rigour run in opposite directions.</w:t>
      </w:r>
    </w:p>
    <w:p>
      <w:pPr>
        <w:pStyle w:val="BodyText"/>
        <w:keepNext/>
        <w:widowControl/>
        <w:spacing w:before="0" w:after="0" w:line="240" w:lineRule="auto"/>
      </w:pPr>
      <w:r>
        <w:rPr>
          <w:rFonts w:ascii="Old Standard TT" w:hAnsi="Old Standard TT"/>
        </w:rPr>
        <w:drawing>
          <wp:inline>
            <wp:extent cx="5943600" cy="3237931"/>
            <wp:effectExtent b="0" l="0" r="0" t="0"/>
            <wp:docPr descr="Figure 3.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0.58 and the best monitor, the Jev forecaster seeing everything the target saw, 0.65. On 89 new episodes collected after the plan was fixed and scored once (1,787 calls, 82 positives), the probe reached 0.68 and Jev 0.64, both clear of chance (Jev − probe −0.04 [−0.14, +0.06]). A separate probe that separates pressured from unpressured calls perfectly (AUROC 1.00) does not rank who gives in (0.44 on the</w:t>
      </w:r>
      <w:r>
        <w:rPr>
          <w:rFonts w:ascii="XCharter" w:hAnsi="XCharter" w:cs="XCharter" w:eastAsia="XCharter"/>
          <w:sz w:val="22"/>
        </w:rPr>
        <w:t xml:space="preserve"> </w:t>
      </w:r>
      <w:r>
        <w:rPr>
          <w:rFonts w:ascii="XCharter" w:hAnsi="XCharter" w:cs="XCharter" w:eastAsia="XCharter"/>
          <w:b/>
          <w:bCs/>
          <w:sz w:val="22"/>
        </w:rPr>
        <w:t xml:space="preserve">first data batch</w:t>
      </w:r>
      <w:r>
        <w:rPr>
          <w:rFonts w:ascii="XCharter" w:hAnsi="XCharter" w:cs="XCharter" w:eastAsia="XCharter"/>
          <w:sz w:val="22"/>
        </w:rPr>
        <w:t xml:space="preserve">, the episodes collected before the new-episode set;</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 with an interval that includes chance, and the Jev forecaster 0.58 (998 eventual positives;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32 of its 128 channel give-ins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Asked to forecast, Jev scores 0.65 on the near-term label; asked to detect, 0.58. On the first data batch, showing the Jev forecaster the peer’s messages on top of the target’s actions raises its score by 0.12 [0.06, 0.18], while adding everything else the target saw adds only 0.03 [−0.00, 0.05]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helps only the weaker monitor: GPT-5-nano gains +0.08 pooled and +0.11 on the new episodes, but +0.02 held-out (not significant), and Jev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 Each rung is a different point to intervene, from flagging an episode early to holding one call.</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and an exact-string output filter would also catch our leaks. A tool-call blocker alone would not: 127 of gpt-oss-20b’s 128 channel give-ins and 48 of Qwen3-32B’s 98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Qwen3-32B per-call probe scores 0.92 on give-ins in plain text, not only 0.98 on tool arguments. A pre-generation warning also allows softer interventions (pause, escalate, ask a human), and values can be paraphrased or encoded where no string matches; this setup does not test such leaks.</w:t>
      </w:r>
    </w:p>
    <w:p>
      <w:pPr>
        <w:pStyle w:val="BodyText"/>
        <w:widowControl/>
        <w:spacing w:after="0" w:line="259" w:lineRule="auto"/>
        <w:ind w:firstLine="360"/>
        <w:jc w:val="both"/>
      </w:pPr>
      <w:r>
        <w:rPr>
          <w:rFonts w:ascii="XCharter" w:hAnsi="XCharter" w:cs="XCharter" w:eastAsia="XCharter"/>
          <w:b/>
          <w:bCs/>
          <w:sz w:val="22"/>
        </w:rPr>
        <w:t xml:space="preserve">As alarms, the detectors are costly or weak:</w:t>
      </w:r>
      <w:r>
        <w:rPr>
          <w:rFonts w:ascii="XCharter" w:hAnsi="XCharter" w:cs="XCharter" w:eastAsia="XCharter"/>
          <w:sz w:val="22"/>
        </w:rPr>
        <w:t xml:space="preserve"> </w:t>
      </w:r>
      <w:r>
        <w:rPr>
          <w:rFonts w:ascii="XCharter" w:hAnsi="XCharter" w:cs="XCharter" w:eastAsia="XCharter"/>
          <w:sz w:val="22"/>
        </w:rPr>
        <w:t xml:space="preserve">per-call probes alarm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and at the round level, at a 5% false-alarm cutoff set on refusing episodes, the best catches 10 of 101 give-ins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and give it the other agent’s messages. Score per call, close to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Two target models on six scenarios from one task template. The per-call last-prompt results are post hoc and unconfirmed; only the gpt-oss-20b reasoning probe was confirmed, on 26 leaking calls. The warning is about the current call, not calls or rounds ahead. Semantic or long-horizon collusion has no exact-string cut point.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32691ce30b0dd97ec3690ce7d97c5c9a26aa3b1"/>
      <w:r>
        <w:rPr>
          <w:rFonts w:ascii="Old Standard TT" w:hAnsi="Old Standard TT"/>
          <w:b/>
          <w:sz w:val="26"/>
        </w:rPr>
        <w:t xml:space="preserve">Future Work</w:t>
      </w:r>
      <w:bookmarkEnd w:id="40"/>
    </w:p>
    <w:p>
      <w:pPr>
        <w:pStyle w:val="FirstParagraph"/>
        <w:widowControl/>
        <w:spacing w:after="0" w:line="259" w:lineRule="auto"/>
        <w:ind w:firstLine="0"/>
        <w:jc w:val="both"/>
      </w:pPr>
      <w:r>
        <w:rPr>
          <w:rFonts w:ascii="XCharter" w:hAnsi="XCharter" w:cs="XCharter" w:eastAsia="XCharter"/>
          <w:sz w:val="22"/>
        </w:rPr>
        <w:t xml:space="preserve">Next steps are to score per-call probes in group settings, with several peers and recruited agents that recruit others, as in the 2026 incident or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We asked whether an agent’s give-in to a recruiting peer can be seen before it happens. Asked per call, it can: a linear probe on the target’s activations predicts which call will give in, on two models, above an LLM judge reading the same input, and a probe on the streaming reasoning held on new episodes. Further from the act the signal fades, to modest for this round or the next and barely for the eventual outcome. That is still before the value leaks and before the recruitment spreads to further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a planning commit with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6"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https://arxiv.org/abs/2411.03343</w:t>
        </w:r>
      </w:hyperlink>
      <w:bookmarkEnd w:id="81"/>
    </w:p>
    <w:p>
      <w:pPr>
        <w:pStyle w:val="Bibliography"/>
        <w:widowControl/>
        <w:spacing w:line="259" w:lineRule="auto" w:after="80"/>
        <w:ind w:left="360" w:hanging="360"/>
        <w:jc w:val="left"/>
      </w:pPr>
      <w:bookmarkStart w:id="83"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https://arxiv.org/abs/2606.11172</w:t>
        </w:r>
      </w:hyperlink>
      <w:bookmarkEnd w:id="83"/>
    </w:p>
    <w:p>
      <w:pPr>
        <w:pStyle w:val="Bibliography"/>
        <w:widowControl/>
        <w:spacing w:line="259" w:lineRule="auto" w:after="80"/>
        <w:ind w:left="360" w:hanging="360"/>
        <w:jc w:val="left"/>
      </w:pPr>
      <w:bookmarkStart w:id="85"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https://arxiv.org/abs/2601.11516</w:t>
        </w:r>
      </w:hyperlink>
      <w:bookmarkEnd w:id="85"/>
    </w:p>
    <w:p>
      <w:pPr>
        <w:pStyle w:val="Bibliography"/>
        <w:widowControl/>
        <w:spacing w:line="259" w:lineRule="auto" w:after="80"/>
        <w:ind w:left="360" w:hanging="360"/>
        <w:jc w:val="left"/>
      </w:pPr>
      <w:bookmarkStart w:id="87"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https://arxiv.org/abs/2410.00031</w:t>
        </w:r>
      </w:hyperlink>
      <w:bookmarkEnd w:id="87"/>
    </w:p>
    <w:p>
      <w:pPr>
        <w:pStyle w:val="Bibliography"/>
        <w:widowControl/>
        <w:spacing w:line="259" w:lineRule="auto" w:after="80"/>
        <w:ind w:left="360" w:hanging="360"/>
        <w:jc w:val="left"/>
      </w:pPr>
      <w:bookmarkStart w:id="89"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https://www.usenix.org/conference/usenixsecurity24/presentation/liu-yupei</w:t>
        </w:r>
      </w:hyperlink>
      <w:bookmarkEnd w:id="89"/>
    </w:p>
    <w:p>
      <w:pPr>
        <w:pStyle w:val="Bibliography"/>
        <w:widowControl/>
        <w:spacing w:line="259" w:lineRule="auto" w:after="80"/>
        <w:ind w:left="360" w:hanging="360"/>
        <w:jc w:val="left"/>
      </w:pPr>
      <w:bookmarkStart w:id="91"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https://www.anthropic.com/news/probes-catch-sleeper-agents</w:t>
        </w:r>
      </w:hyperlink>
      <w:bookmarkEnd w:id="91"/>
    </w:p>
    <w:p>
      <w:pPr>
        <w:pStyle w:val="Bibliography"/>
        <w:widowControl/>
        <w:spacing w:line="259" w:lineRule="auto" w:after="80"/>
        <w:ind w:left="360" w:hanging="360"/>
        <w:jc w:val="left"/>
      </w:pPr>
      <w:bookmarkStart w:id="93"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https://arxiv.org/abs/2506.10805</w:t>
        </w:r>
      </w:hyperlink>
      <w:bookmarkEnd w:id="93"/>
    </w:p>
    <w:p>
      <w:pPr>
        <w:pStyle w:val="Bibliography"/>
        <w:widowControl/>
        <w:spacing w:line="259" w:lineRule="auto" w:after="80"/>
        <w:ind w:left="360" w:hanging="360"/>
        <w:jc w:val="left"/>
      </w:pPr>
      <w:bookmarkStart w:id="95"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https://arxiv.org/abs/2602.15198</w:t>
        </w:r>
      </w:hyperlink>
      <w:bookmarkEnd w:id="95"/>
    </w:p>
    <w:p>
      <w:pPr>
        <w:pStyle w:val="Bibliography"/>
        <w:widowControl/>
        <w:spacing w:line="259" w:lineRule="auto" w:after="80"/>
        <w:ind w:left="360" w:hanging="360"/>
        <w:jc w:val="left"/>
      </w:pPr>
      <w:bookmarkStart w:id="97"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https://platform.openai.com/docs/models/gpt-5-nano</w:t>
        </w:r>
      </w:hyperlink>
      <w:bookmarkEnd w:id="97"/>
    </w:p>
    <w:p>
      <w:pPr>
        <w:pStyle w:val="Bibliography"/>
        <w:widowControl/>
        <w:spacing w:line="259" w:lineRule="auto" w:after="80"/>
        <w:ind w:left="360" w:hanging="360"/>
        <w:jc w:val="left"/>
      </w:pPr>
      <w:bookmarkStart w:id="99"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https://arxiv.org/abs/2508.10925</w:t>
        </w:r>
      </w:hyperlink>
      <w:bookmarkEnd w:id="99"/>
    </w:p>
    <w:p>
      <w:pPr>
        <w:pStyle w:val="Bibliography"/>
        <w:widowControl/>
        <w:spacing w:line="259" w:lineRule="auto" w:after="80"/>
        <w:ind w:left="360" w:hanging="360"/>
        <w:jc w:val="left"/>
      </w:pPr>
      <w:bookmarkStart w:id="101"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https://huggingface.co/openai/gpt-oss-20b</w:t>
        </w:r>
      </w:hyperlink>
      <w:bookmarkEnd w:id="101"/>
    </w:p>
    <w:p>
      <w:pPr>
        <w:pStyle w:val="Bibliography"/>
        <w:widowControl/>
        <w:spacing w:line="259" w:lineRule="auto" w:after="80"/>
        <w:ind w:left="360" w:hanging="360"/>
        <w:jc w:val="left"/>
      </w:pPr>
      <w:bookmarkStart w:id="103"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https://openrouter.ai/openai/gpt-6-luna-decisions</w:t>
        </w:r>
      </w:hyperlink>
      <w:bookmarkEnd w:id="103"/>
    </w:p>
    <w:p>
      <w:pPr>
        <w:pStyle w:val="Bibliography"/>
        <w:widowControl/>
        <w:spacing w:line="259" w:lineRule="auto" w:after="80"/>
        <w:ind w:left="360" w:hanging="360"/>
        <w:jc w:val="left"/>
      </w:pPr>
      <w:bookmarkStart w:id="105"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5"/>
    </w:p>
    <w:p>
      <w:pPr>
        <w:pStyle w:val="Bibliography"/>
        <w:widowControl/>
        <w:spacing w:line="259" w:lineRule="auto" w:after="80"/>
        <w:ind w:left="360" w:hanging="360"/>
        <w:jc w:val="left"/>
      </w:pPr>
      <w:bookmarkStart w:id="107"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https://arxiv.org/abs/2609.35576</w:t>
        </w:r>
      </w:hyperlink>
      <w:bookmarkEnd w:id="107"/>
    </w:p>
    <w:p>
      <w:pPr>
        <w:pStyle w:val="Bibliography"/>
        <w:widowControl/>
        <w:spacing w:line="259" w:lineRule="auto" w:after="80"/>
        <w:ind w:left="360" w:hanging="360"/>
        <w:jc w:val="left"/>
      </w:pPr>
      <w:bookmarkStart w:id="109"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https://huggingface.co/Qwen/Qwen3-32B</w:t>
        </w:r>
      </w:hyperlink>
      <w:bookmarkEnd w:id="109"/>
    </w:p>
    <w:p>
      <w:pPr>
        <w:pStyle w:val="Bibliography"/>
        <w:widowControl/>
        <w:spacing w:line="259" w:lineRule="auto" w:after="80"/>
        <w:ind w:left="360" w:hanging="360"/>
        <w:jc w:val="left"/>
      </w:pPr>
      <w:bookmarkStart w:id="111"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https://arxiv.org/abs/2605.29178</w:t>
        </w:r>
      </w:hyperlink>
      <w:bookmarkEnd w:id="111"/>
    </w:p>
    <w:p>
      <w:pPr>
        <w:pStyle w:val="Bibliography"/>
        <w:widowControl/>
        <w:spacing w:line="259" w:lineRule="auto" w:after="80"/>
        <w:ind w:left="360" w:hanging="360"/>
        <w:jc w:val="left"/>
      </w:pPr>
      <w:bookmarkStart w:id="113"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https://arxiv.org/abs/2604.01151</w:t>
        </w:r>
      </w:hyperlink>
      <w:bookmarkEnd w:id="113"/>
    </w:p>
    <w:p>
      <w:pPr>
        <w:pStyle w:val="Bibliography"/>
        <w:widowControl/>
        <w:spacing w:line="259" w:lineRule="auto" w:after="80"/>
        <w:ind w:left="360" w:hanging="360"/>
        <w:jc w:val="left"/>
      </w:pPr>
      <w:bookmarkStart w:id="115"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https://arxiv.org/abs/2607.06503</w:t>
        </w:r>
      </w:hyperlink>
      <w:bookmarkEnd w:id="115"/>
    </w:p>
    <w:p>
      <w:pPr>
        <w:pStyle w:val="Bibliography"/>
        <w:widowControl/>
        <w:spacing w:line="259" w:lineRule="auto" w:after="80"/>
        <w:ind w:left="360" w:hanging="360"/>
        <w:jc w:val="left"/>
      </w:pPr>
      <w:bookmarkStart w:id="117"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https://github.com/soham-padia/pre-sycophancy-study</w:t>
        </w:r>
      </w:hyperlink>
      <w:bookmarkEnd w:id="117"/>
    </w:p>
    <w:p>
      <w:pPr>
        <w:pStyle w:val="Bibliography"/>
        <w:widowControl/>
        <w:spacing w:line="259" w:lineRule="auto" w:after="80"/>
        <w:ind w:left="360" w:hanging="360"/>
        <w:jc w:val="left"/>
      </w:pPr>
      <w:bookmarkStart w:id="119"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https://arxiv.org/abs/2501.18837</w:t>
        </w:r>
      </w:hyperlink>
      <w:bookmarkEnd w:id="119"/>
    </w:p>
    <w:p>
      <w:pPr>
        <w:pStyle w:val="Bibliography"/>
        <w:widowControl/>
        <w:spacing w:line="259" w:lineRule="auto" w:after="80"/>
        <w:ind w:left="360" w:hanging="360"/>
        <w:jc w:val="left"/>
      </w:pPr>
      <w:bookmarkStart w:id="121"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https://arxiv.org/abs/2607.05132</w:t>
        </w:r>
      </w:hyperlink>
      <w:bookmarkEnd w:id="121"/>
    </w:p>
    <w:p>
      <w:pPr>
        <w:pStyle w:val="Bibliography"/>
        <w:widowControl/>
        <w:spacing w:line="259" w:lineRule="auto" w:after="80"/>
        <w:ind w:left="360" w:hanging="360"/>
        <w:jc w:val="left"/>
      </w:pPr>
      <w:bookmarkStart w:id="123"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https://arxiv.org/abs/2609.24967</w:t>
        </w:r>
      </w:hyperlink>
      <w:bookmarkEnd w:id="123"/>
    </w:p>
    <w:p>
      <w:pPr>
        <w:pStyle w:val="Bibliography"/>
        <w:widowControl/>
        <w:spacing w:line="259" w:lineRule="auto" w:after="80"/>
        <w:ind w:left="360" w:hanging="360"/>
        <w:jc w:val="left"/>
      </w:pPr>
      <w:bookmarkStart w:id="125"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https://arxiv.org/abs/2609.09090</w:t>
        </w:r>
      </w:hyperlink>
      <w:bookmarkEnd w:id="125"/>
    </w:p>
    <w:p>
      <w:pPr>
        <w:pStyle w:val="Bibliography"/>
        <w:widowControl/>
        <w:spacing w:line="259" w:lineRule="auto" w:after="80"/>
        <w:ind w:left="360" w:hanging="360"/>
        <w:jc w:val="left"/>
      </w:pPr>
      <w:bookmarkStart w:id="127"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https://arxiv.org/abs/2603.13940</w:t>
        </w:r>
      </w:hyperlink>
      <w:bookmarkEnd w:id="127"/>
    </w:p>
    <w:p>
      <w:pPr>
        <w:pStyle w:val="Bibliography"/>
        <w:widowControl/>
        <w:spacing w:line="259" w:lineRule="auto" w:after="80"/>
        <w:ind w:left="360" w:hanging="360"/>
        <w:jc w:val="left"/>
      </w:pPr>
      <w:bookmarkStart w:id="129"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https://arxiv.org/abs/2604.16824</w:t>
        </w:r>
      </w:hyperlink>
      <w:bookmarkEnd w:id="129"/>
    </w:p>
    <w:p>
      <w:pPr>
        <w:pStyle w:val="Bibliography"/>
        <w:widowControl/>
        <w:spacing w:line="259" w:lineRule="auto" w:after="80"/>
        <w:ind w:left="360" w:hanging="360"/>
        <w:jc w:val="left"/>
      </w:pPr>
      <w:bookmarkStart w:id="131"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https://arxiv.org/abs/2505.09388</w:t>
        </w:r>
      </w:hyperlink>
      <w:bookmarkEnd w:id="131"/>
    </w:p>
    <w:p>
      <w:pPr>
        <w:pStyle w:val="Bibliography"/>
        <w:widowControl/>
        <w:spacing w:line="259" w:lineRule="auto" w:after="80"/>
        <w:ind w:left="360" w:hanging="360"/>
        <w:jc w:val="left"/>
      </w:pPr>
      <w:bookmarkStart w:id="133"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https://arxiv.org/abs/2610.05295</w:t>
        </w:r>
      </w:hyperlink>
      <w:bookmarkEnd w:id="133"/>
    </w:p>
    <w:p>
      <w:pPr>
        <w:pStyle w:val="Bibliography"/>
        <w:widowControl/>
        <w:spacing w:line="259" w:lineRule="auto" w:after="80"/>
        <w:ind w:left="360" w:hanging="360"/>
        <w:jc w:val="left"/>
      </w:pPr>
      <w:bookmarkStart w:id="135"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https://arxiv.org/abs/2605.27593</w:t>
        </w:r>
      </w:hyperlink>
      <w:bookmarkEnd w:id="135"/>
    </w:p>
    <w:bookmarkEnd w:id="136"/>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7" w:name="_appendix"/>
      <w:r>
        <w:rPr>
          <w:rFonts w:ascii="Old Standard TT" w:hAnsi="Old Standard TT"/>
          <w:b/>
          <w:sz w:val="28"/>
        </w:rPr>
        <w:t xml:space="preserve">Appendix</w:t>
      </w:r>
      <w:bookmarkEnd w:id="137"/>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d863e5dd50f3a2c5a9f9d67c38d6db1a7983c65"/>
      <w:r>
        <w:rPr>
          <w:rFonts w:ascii="Old Standard TT" w:hAnsi="Old Standard TT"/>
          <w:b/>
          <w:sz w:val="26"/>
        </w:rPr>
        <w:t xml:space="preserve">A. Limitations and Dual-Use / Ethical Considerations</w:t>
      </w:r>
      <w:bookmarkEnd w:id="138"/>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call,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call.</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4"/>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4"/>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4"/>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4"/>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4"/>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4"/>
        </w:numPr>
        <w:spacing w:line="259" w:lineRule="auto" w:after="60"/>
        <w:jc w:val="left"/>
      </w:pPr>
      <w:r>
        <w:rPr>
          <w:rFonts w:ascii="XCharter" w:hAnsi="XCharter" w:cs="XCharter" w:eastAsia="XCharter"/>
          <w:i/>
          <w:iCs/>
          <w:sz w:val="22"/>
        </w:rPr>
        <w:t xml:space="preserve">A possible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model’s probe input for training calls is the out-of-fold probe score, and the fold probes behind those scores were trained on overlapping calls, including the combination model’s own test fold. This can make the all-data combination gains optimistic; we have not measured by how much. The new-episode confirmation test does not have this problem.</w:t>
      </w:r>
    </w:p>
    <w:p>
      <w:pPr>
        <w:pStyle w:val="Compact"/>
        <w:widowControl/>
        <w:numPr>
          <w:ilvl w:val="0"/>
          <w:numId w:val="1004"/>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call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4"/>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4"/>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 The per-call results add two more routes: knowing which calls a probe can read could help an adversary spread pressure across calls or route a disclosure through plain text or an encoding rather than a tool call,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9" w:name="_1c2832545d6be5937b2db194f5b1e2f4105b9d9"/>
      <w:r>
        <w:rPr>
          <w:rFonts w:ascii="Old Standard TT" w:hAnsi="Old Standard TT"/>
          <w:b/>
          <w:sz w:val="26"/>
        </w:rPr>
        <w:t xml:space="preserve">B. Experimental Pipeline and Reproducibility</w:t>
      </w:r>
      <w:bookmarkEnd w:id="139"/>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1" name="Picture"/>
            <a:graphic>
              <a:graphicData uri="http://schemas.openxmlformats.org/drawingml/2006/picture">
                <pic:pic>
                  <pic:nvPicPr>
                    <pic:cNvPr descr="figures/pipeline.png" id="142" name="Picture"/>
                    <pic:cNvPicPr>
                      <a:picLocks noChangeArrowheads="1" noChangeAspect="1"/>
                    </pic:cNvPicPr>
                  </pic:nvPicPr>
                  <pic:blipFill>
                    <a:blip r:embed="rId140"/>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3"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eb2081c254582b7b30d850818c23052f2849c38">
              <w:r>
                <w:rPr>
                  <w:rStyle w:val="Hyperlink"/>
                  <w:rFonts w:ascii="XCharter" w:hAnsi="XCharter" w:cs="XCharter" w:eastAsia="XCharter"/>
                  <w:color w:val="000080"/>
                  <w:sz w:val="18"/>
                  <w:u w:val="none"/>
                </w:rPr>
                <w:t xml:space="preserve">Figure 3</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refusing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4" w:name="_29f519cfe2b273e1f41de0c770c5dd81f1818a5"/>
      <w:r>
        <w:rPr>
          <w:rFonts w:ascii="Old Standard TT" w:hAnsi="Old Standard TT"/>
          <w:b/>
          <w:sz w:val="26"/>
        </w:rPr>
        <w:t xml:space="preserve">C. Scenarios, an Example, and Model Choice</w:t>
      </w:r>
      <w:bookmarkEnd w:id="144"/>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5"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5"/>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Refusing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9af0a0be73df5a4a2132a3bbde2a7aaba8a9fb7"/>
      <w:r>
        <w:rPr>
          <w:rFonts w:ascii="Old Standard TT" w:hAnsi="Old Standard TT"/>
          <w:b/>
          <w:sz w:val="26"/>
        </w:rPr>
        <w:t xml:space="preserve">D. Labels and Judges</w:t>
      </w:r>
      <w:bookmarkEnd w:id="146"/>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refusing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refusing,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refusing-episode calls as negatives; C uses a within-three-target-calls window against refusing episodes. Both drop calls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16e1c949c1569f7f4050c474671b93e6b4d1bae"/>
      <w:r>
        <w:rPr>
          <w:rFonts w:ascii="Old Standard TT" w:hAnsi="Old Standard TT"/>
          <w:b/>
          <w:sz w:val="26"/>
        </w:rPr>
        <w:t xml:space="preserve">E. Detectors and Evaluation</w:t>
      </w:r>
      <w:bookmarkEnd w:id="147"/>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refusing calls scored 0.5 and 0.9: the give-in outranks one of the two refusing calls, so the group AUROC is 0.5. A second group with a give-in at 0.7 and a refusing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refusing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refusing,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target reply.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8"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4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Steps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refusing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refusing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0" name="Picture"/>
            <a:graphic>
              <a:graphicData uri="http://schemas.openxmlformats.org/drawingml/2006/picture">
                <pic:pic>
                  <pic:nvPicPr>
                    <pic:cNvPr descr="figures/figure_monitor_design.png" id="151" name="Picture"/>
                    <pic:cNvPicPr>
                      <a:picLocks noChangeArrowheads="1" noChangeAspect="1"/>
                    </pic:cNvPicPr>
                  </pic:nvPicPr>
                  <pic:blipFill>
                    <a:blip r:embed="rId149"/>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2"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3"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3"/>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4" w:name="_e774c98102b53efba7d6294684718b8ff2eaeba"/>
      <w:r>
        <w:rPr>
          <w:rFonts w:ascii="Old Standard TT" w:hAnsi="Old Standard TT"/>
          <w:b/>
          <w:sz w:val="26"/>
        </w:rPr>
        <w:t xml:space="preserve">F. Second Target: gpt-oss-20b (and Gemma-4-31B)</w:t>
      </w:r>
      <w:bookmarkEnd w:id="154"/>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5"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5"/>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refusing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190f1226d051d30d3bf4384ba25f172a7a45b0c"/>
      <w:r>
        <w:rPr>
          <w:rFonts w:ascii="Old Standard TT" w:hAnsi="Old Standard TT"/>
          <w:b/>
          <w:sz w:val="26"/>
        </w:rPr>
        <w:t xml:space="preserve">G. Behaviour Screening</w:t>
      </w:r>
      <w:bookmarkEnd w:id="156"/>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refusing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7"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7fccf12973301cf728201a32934c6648ff11624"/>
      <w:r>
        <w:rPr>
          <w:rFonts w:ascii="Old Standard TT" w:hAnsi="Old Standard TT"/>
          <w:b/>
          <w:sz w:val="26"/>
        </w:rPr>
        <w:t xml:space="preserve">H. Robustness and Diagnostics for the Main Results</w:t>
      </w:r>
      <w:bookmarkEnd w:id="158"/>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9"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0"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1"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3" name="Picture"/>
            <a:graphic>
              <a:graphicData uri="http://schemas.openxmlformats.org/drawingml/2006/picture">
                <pic:pic>
                  <pic:nvPicPr>
                    <pic:cNvPr descr="figures/appendix_h_layers.png" id="164" name="Picture"/>
                    <pic:cNvPicPr>
                      <a:picLocks noChangeArrowheads="1" noChangeAspect="1"/>
                    </pic:cNvPicPr>
                  </pic:nvPicPr>
                  <pic:blipFill>
                    <a:blip r:embed="rId162"/>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5"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5"/>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refusing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refusing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refusing recruiting episodes for a nominal 5% per-episode false-alarm rate (strict threshold), the Jev forecaster catches 10 of 101 give-ins (9.9%) with 6 of 140 refusing episodes alarming (4.3%); the probe 8 of 101 (7.9%) and 8 of 140 (5.7%); GPT-5-nano 0 of 101 and 0 of 140. Probe scores are pooled-CV out-of-fold scores, z-scored within each fold model and averaged over seeds. For each seed-42 fold, the cutoff is the value that at most 5% of refusing episodes from the other folds (families of the evaluated fold excluded) exceed with their maximum score, and only a score strictly above it alarms. A give-in counts as caught if an alarm fires on one of its near-term-positive calls, and a refusing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6" w:name="_889344895f04d1f9f75d0ebcc55c0e9d025ecfb"/>
      <w:r>
        <w:rPr>
          <w:rFonts w:ascii="Old Standard TT" w:hAnsi="Old Standard TT"/>
          <w:b/>
          <w:sz w:val="26"/>
        </w:rPr>
        <w:t xml:space="preserve">I. Prompts</w:t>
      </w:r>
      <w:bookmarkEnd w:id="166"/>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33bf1cd3074762475a7470d90c6bbd938fdac44"/>
      <w:r>
        <w:rPr>
          <w:rFonts w:ascii="Old Standard TT" w:hAnsi="Old Standard TT"/>
          <w:b/>
          <w:sz w:val="26"/>
        </w:rPr>
        <w:t xml:space="preserve">I.1 Target agent (Qwen3-32B and gpt-oss-20b)</w:t>
      </w:r>
      <w:bookmarkEnd w:id="167"/>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d7ac7fb6a629ef29d896d387aeb1cbdff09ae31"/>
      <w:r>
        <w:rPr>
          <w:rFonts w:ascii="Old Standard TT" w:hAnsi="Old Standard TT"/>
          <w:b/>
          <w:sz w:val="26"/>
        </w:rPr>
        <w:t xml:space="preserve">I.2 Peer agent, Qwen3-32B episodes (DeepSeek-V4-Flash)</w:t>
      </w:r>
      <w:bookmarkEnd w:id="168"/>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20ca0bd4e22b8907b745ffe52788f85136b39d1"/>
      <w:r>
        <w:rPr>
          <w:rFonts w:ascii="Old Standard TT" w:hAnsi="Old Standard TT"/>
          <w:b/>
          <w:sz w:val="26"/>
        </w:rPr>
        <w:t xml:space="preserve">I.3 Peer agent, gpt-oss-20b episodes (DeepSeek-V4-Pro)</w:t>
      </w:r>
      <w:bookmarkEnd w:id="169"/>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f002de876b18b98d7718a6bd3deb30b9403007e"/>
      <w:r>
        <w:rPr>
          <w:rFonts w:ascii="Old Standard TT" w:hAnsi="Old Standard TT"/>
          <w:b/>
          <w:sz w:val="26"/>
        </w:rPr>
        <w:t xml:space="preserve">I.4 Text monitors</w:t>
      </w:r>
      <w:bookmarkEnd w:id="170"/>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9c1464226db10cf5b2f811ceea16efe8dd113a9"/>
      <w:r>
        <w:rPr>
          <w:rFonts w:ascii="Old Standard TT" w:hAnsi="Old Standard TT"/>
          <w:b/>
          <w:sz w:val="26"/>
        </w:rPr>
        <w:t xml:space="preserve">J. A Scaled Follow-Up Study: Design and Decision Criteria</w:t>
      </w:r>
      <w:bookmarkEnd w:id="171"/>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refusing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527a2614b0d9aee1dd56ba38d518b45bdf577b0"/>
      <w:r>
        <w:rPr>
          <w:rFonts w:ascii="Old Standard TT" w:hAnsi="Old Standard TT"/>
          <w:b/>
          <w:sz w:val="26"/>
        </w:rPr>
        <w:t xml:space="preserve">K. Related Work in Full</w:t>
      </w:r>
      <w:bookmarkEnd w:id="172"/>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calls.</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4eebb92370222c9c8f01ec8125bb39dc064483d"/>
      <w:r>
        <w:rPr>
          <w:rFonts w:ascii="Old Standard TT" w:hAnsi="Old Standard TT"/>
          <w:b/>
          <w:sz w:val="26"/>
        </w:rPr>
        <w:t xml:space="preserve">L. Per-call and Streaming Probes</w:t>
      </w:r>
      <w:bookmarkEnd w:id="173"/>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main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0fdfa08c8aa9ffbf1d598022d2903121bf1f3a9"/>
      <w:r>
        <w:rPr>
          <w:rFonts w:ascii="Old Standard TT" w:hAnsi="Old Standard TT"/>
          <w:b/>
          <w:sz w:val="26"/>
        </w:rPr>
        <w:t xml:space="preserve">L.1 The gpt-oss-20b reasoning probe: design and development results</w:t>
      </w:r>
      <w:bookmarkEnd w:id="174"/>
    </w:p>
    <w:p>
      <w:pPr>
        <w:pStyle w:val="FirstParagraph"/>
        <w:widowControl/>
        <w:spacing w:after="0" w:line="259" w:lineRule="auto"/>
        <w:ind w:firstLine="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Our main probe reads one position per request, the last prompt token.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main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refusing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paper’s near-term label differs in three ways: it concerns a channel leak; it marks the eligible calls before the leak, in the leak’s round or the one before; and the main probe reads one position per call, the last prompt token, before any reasoning. The near-term comparator below uses that paper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main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main gpt-oss last-prompt probe, applied without refitting (it was trained on the channel near-term label). Two text monitors, run differently from the main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refusing episodes.</w:t>
      </w:r>
    </w:p>
    <w:p>
      <w:pPr>
        <w:pStyle w:val="Caption"/>
        <w:keepNext/>
        <w:keepLines/>
        <w:widowControl/>
        <w:spacing w:line="240" w:lineRule="auto" w:before="0" w:after="120"/>
        <w:ind w:firstLine="0"/>
      </w:pPr>
      <w:bookmarkStart w:id="175"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(main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round-level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L.2’s probe on the incoming peer message and tool results, trained on the same label: it also ranks well (0.927), but with a far less precise cutoff (19.1% against 4.4% of refusing calls alarm). That probe uses one seed and a reduced recipe, so the comparison is indicative. On the round-level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refusing-episode calls alarming; pooled, 75.5% and 2.0%. Per episode the false-alarm rate is far higher: at least one alarm fires in 41.3% [33.3, 50.0] of the 92 refusing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refusing recruiting episodes (2%, 21%, 1%). The probe’s ranking is stable across seeds, but these thresholded rates are not. Most stops fall within the leaking call (median step lead 0; 12 of the 149 caught episode-seed observations alarm on an earlier request). The 5% applies to the training-side control episodes; the 8% is measured on the refusing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refusing-episode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main results, uses one model, and tried several variants (two aggregates, two cuts, two splits); it has no confirmation set. The label is any public emission, not the give-in outcome. Within a call the probe likely reads a decision the model is already reasoning toward, so this is detection before the action, not earlier prediction.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7a58329c2353e56a5bd1d72f28e42872a37757f"/>
      <w:r>
        <w:rPr>
          <w:rFonts w:ascii="Old Standard TT" w:hAnsi="Old Standard TT"/>
          <w:b/>
          <w:sz w:val="26"/>
        </w:rPr>
        <w:t xml:space="preserve">L.2 Expanded capture: incoming messages and action-time tokens</w:t>
      </w:r>
      <w:bookmarkEnd w:id="176"/>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7"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refusing-call alarms = share of calls in refusing episodes that alarm.</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refusing episodes (80%) and 49 of 92 (53%), respectively, would also have been stopped at least once. The median alarm comes in the same request as the leak (step lead 0), so the warning is late in the episode even when it is early in the request.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a84b69b1f04b116b25a2e9fee2854a691cd8854"/>
      <w:r>
        <w:rPr>
          <w:rFonts w:ascii="Old Standard TT" w:hAnsi="Old Standard TT"/>
          <w:b/>
          <w:sz w:val="26"/>
        </w:rPr>
        <w:t xml:space="preserve">L.3 Per-call last-prompt probes on both models (post hoc)</w:t>
      </w:r>
      <w:bookmarkEnd w:id="178"/>
    </w:p>
    <w:p>
      <w:pPr>
        <w:pStyle w:val="FirstParagraph"/>
        <w:widowControl/>
        <w:spacing w:after="0" w:line="259" w:lineRule="auto"/>
        <w:ind w:firstLine="0"/>
        <w:jc w:val="both"/>
      </w:pPr>
      <w:r>
        <w:rPr>
          <w:rFonts w:ascii="XCharter" w:hAnsi="XCharter" w:cs="XCharter" w:eastAsia="XCharter"/>
          <w:sz w:val="22"/>
        </w:rPr>
        <w:t xml:space="preserve">The paper’s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refusing calls alarm), the last-prompt probe 56.5% (1.6%). On Qwen3-32B the round-level near-term probe scores 0.561 [0.514, 0.600] on the same 4,844 calls, so the per-call refit gains +0.391 [+0.345, +0.446]. For the Qwen3-32B per-call label, 104 candidate first-emission calls were audited against the give-in rule before fitting (100 qualify; 3 are file-only or private writes; 1 moves to a later call), giving the 101 give-ins. Alarm cutoffs are set on training-side control calls; refusing-call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round-level 0.523 and 0.579, which use the 4,697 pre-emission calls and were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channel give-in rule scores 0.943 [0.921, 0.961] held-out (pooled 0.925), catching 95.1% of channel calls at 13.0% refusing-call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refusing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refusing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79" w:name="_8ce8413e36bee0c123bcc62a0f71b4050680895"/>
      <w:r>
        <w:rPr>
          <w:rFonts w:ascii="Old Standard TT" w:hAnsi="Old Standard TT"/>
          <w:b/>
          <w:sz w:val="26"/>
        </w:rPr>
        <w:t xml:space="preserve">L.4 Checks on the per-call signal</w:t>
      </w:r>
      <w:bookmarkEnd w:id="179"/>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1" name="Picture"/>
            <a:graphic>
              <a:graphicData uri="http://schemas.openxmlformats.org/drawingml/2006/picture">
                <pic:pic>
                  <pic:nvPicPr>
                    <pic:cNvPr descr="figures/figure3b_appendix_checks.png" id="182" name="Picture"/>
                    <pic:cNvPicPr>
                      <a:picLocks noChangeArrowheads="1" noChangeAspect="1"/>
                    </pic:cNvPicPr>
                  </pic:nvPicPr>
                  <pic:blipFill>
                    <a:blip r:embed="rId180"/>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3"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2a;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3"/>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give-ins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4" w:name="_c8f297a0d9ce8278545a005f22685cbf9f1c60b"/>
      <w:r>
        <w:rPr>
          <w:rFonts w:ascii="Old Standard TT" w:hAnsi="Old Standard TT"/>
          <w:b/>
          <w:sz w:val="26"/>
        </w:rPr>
        <w:t xml:space="preserve">L.5 Frozen confirmation on new gpt-oss-20b episodes</w:t>
      </w:r>
      <w:bookmarkEnd w:id="184"/>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old near-term label (mismatched label)</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refusing calls (12 of 490), 7 of 27 refusing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5" w:name="_9b13fd5fc1ec2693fdfc2d237378b7ba584bceb"/>
      <w:r>
        <w:rPr>
          <w:rFonts w:ascii="Old Standard TT" w:hAnsi="Old Standard TT"/>
          <w:b/>
          <w:sz w:val="26"/>
        </w:rPr>
        <w:t xml:space="preserve">L.6 Figure 2, full caption</w:t>
      </w:r>
      <w:bookmarkEnd w:id="185"/>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an LLM judge given the same material does reasonably on Qwen3-32B but far below the probe, and on gpt-oss-20b ranks the leaking calls below the others. This analysis is exploratory and was designed after the main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never-leaking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give-in rule, on the same 4,844 calls from 241 episodes (ever, 0.54, 1,105 positives; this round or next, 0.67, 352 positives; this call, 0.95, 101 positives); these round-level values differ from the round-level 0.52 and 0.58, which use the original 4,697-call cohort without the give-in calls. gpt-oss-20b, last prompt token, any public emission rather than the give-in rule, on the same 1,995 panel-a calls from 238 episodes (ever, 0.61, 330 positives; this round or next, 0.64, 304 positives; this call, 0.91, 121 positives). Retrained to ask whether this call will leak, the round-level last-prompt probe reaches 0.91 before the model writes anything; reading the reasoning adds a little (0.93, the panel-a headline). One-call-ahead results (Qwen3-32B 0.71, gpt-oss-20b 0.62) use different call sets that exclude the give-in calls and are left to the appendix.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6" w:name="_cb9581af10cbdf668d14e9255457c76a376db3f"/>
      <w:r>
        <w:rPr>
          <w:rFonts w:ascii="Old Standard TT" w:hAnsi="Old Standard TT"/>
          <w:b/>
          <w:sz w:val="28"/>
        </w:rPr>
        <w:t xml:space="preserve">LLM Usage Statement</w:t>
      </w:r>
      <w:bookmarkEnd w:id="186"/>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2" Type="http://schemas.openxmlformats.org/officeDocument/2006/relationships/image" Target="media/rId162.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0" Type="http://schemas.openxmlformats.org/officeDocument/2006/relationships/image" Target="media/rId180.png"/><Relationship Id="rId149" Type="http://schemas.openxmlformats.org/officeDocument/2006/relationships/image" Target="media/rId149.png"/><Relationship Id="rId140" Type="http://schemas.openxmlformats.org/officeDocument/2006/relationships/image" Target="media/rId140.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2026-10-26T06:33:29Z</dcterms:created>
  <dcterms:modified xsi:type="dcterms:W3CDTF">2026-10-26T06:33:29Z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