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Collusion? Predicting When an Agent Gives In to a Recruiting Peer,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strongly discriminative: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 Blocking forbidden tool calls is not enough: many of our leaks go out as an ordinary reply (</w:t>
      </w:r>
      <w:hyperlink w:anchor="_cbd875682116f3153fa9a8f9c77c00f8b5fdab1">
        <w:r>
          <w:rPr>
            <w:rStyle w:val="Hyperlink"/>
            <w:rFonts w:ascii="XCharter" w:hAnsi="XCharter" w:cs="XCharter" w:eastAsia="XCharter"/>
            <w:color w:val="000080"/>
            <w:sz w:val="22"/>
            <w:u w:val="none"/>
          </w:rPr>
          <w:t xml:space="preserve">§5</w:t>
        </w:r>
      </w:hyperlink>
      <w:r>
        <w:rPr>
          <w:rFonts w:ascii="XCharter" w:hAnsi="XCharter" w:cs="XCharter" w:eastAsia="XCharter"/>
          <w:sz w:val="22"/>
        </w:rPr>
        <w:t xml:space="preserve">), and a warning before the act allows softer responses, such as pausing the agent or asking a human.</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sz w:val="22"/>
        </w:rPr>
        <w:t xml:space="preserve">Without the rule, handing over a token is ordinary help; with it, collusion.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In an exploratory audit, peer claims of operator authority did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and gpt-oss-20b on 43%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AUROC 0.95 on Qwen3-32B and 0.91 on gpt-oss-20b, above a decision-model monitor (Jev) on the same calls (0.74 and 0.27). A probe on gpt-oss-20b’s streaming reasoning reaches 0.93; with its cutoff set for 5% alarms on control calls, it catches 85% of leaking calls in development, and it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the calls that do not give in were also made after the peer asked for the value, so the probe is not just detecting the request; it also beats keyword rules and a flag for having just read the value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make the same comparison under recruitment:</w:t>
      </w:r>
      <w:r>
        <w:rPr>
          <w:rFonts w:ascii="XCharter" w:hAnsi="XCharter" w:cs="XCharter" w:eastAsia="XCharter"/>
          <w:sz w:val="22"/>
        </w:rPr>
        <w:t xml:space="preserve"> </w:t>
      </w:r>
      <w:r>
        <w:rPr>
          <w:rFonts w:ascii="XCharter" w:hAnsi="XCharter" w:cs="XCharter" w:eastAsia="XCharter"/>
          <w:sz w:val="22"/>
        </w:rPr>
        <w:t xml:space="preserve">our target is never told to collude, and every call we score, give-in or not, has already seen the value and faces the same pressure.</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agent actions from internal states and text, 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injected agents’ decisions within their reasoning.</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stop a model’s output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We study an agent pressed by a peer, compare it only with calls that were also under pressure, ask the same question at different distances from the act on the same calls, and test what a text monitor is asked and what it sees.</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the peer also used one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(DeepSeek-V4-Pro for gpt-oss-20b,</w:t>
      </w:r>
      <w:r>
        <w:rPr>
          <w:rFonts w:ascii="XCharter" w:hAnsi="XCharter" w:cs="XCharter" w:eastAsia="XCharter"/>
          <w:sz w:val="22"/>
        </w:rPr>
        <w:t xml:space="preserve"> </w:t>
      </w:r>
      <w:hyperlink w:anchor="_e5033cf07e50c8c53e3b2479a5847f24a7eee57">
        <w:r>
          <w:rPr>
            <w:rStyle w:val="Hyperlink"/>
            <w:rFonts w:ascii="XCharter" w:hAnsi="XCharter" w:cs="XCharter" w:eastAsia="XCharter"/>
            <w:color w:val="000080"/>
            <w:sz w:val="22"/>
            <w:u w:val="none"/>
          </w:rPr>
          <w:t xml:space="preserve">§3.6</w:t>
        </w:r>
      </w:hyperlink>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which also includes the give-in calls, has 4,844 calls (101 give-ins; L.3).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It is a mechanical rule on the tool log, so it also counts accidental disclosures. One exception: the gpt-oss-20b per-call label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the value written into a reply or a tool argument. gpt-oss-20b almost always writes the value to a file before it posts it, so only 3 of its scored calls are first channel posts; 143 of its 146 leaking calls are tool-argument writes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sees each call’s conversation and tool results (values masked; L.3) and is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calls in the same scenario and round.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the peer is the adversary, not the system under test, and was tuned only so that some episodes give in and some refuse, on behaviour alone, then frozen before any probe or monitor saw the data; every detector is scored on the same frozen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(43%),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picks out the leaking call before the call generates any token. On held-out scenarios it scores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with reasoning; 121 of the 146 leaking calls). Jev, asked the same question, scores lower on both models: 0.74 on Qwen3-32B and 0.27 on gpt-oss-20b (probe minus Jev +0.21 and +0.64, intervals exclude zero). Jev sees the same conversation and tool results, with protected values masked; for gpt-oss-20b it omits same-turn reasoning; Jev given that reasoning scores 0.40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On gpt-oss-20b it flags nearly every pressured call, so it ranks leaking calls below the rest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On gpt-oss-20b, a probe on the streaming reasoning does slightly better and held on new episodes. It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w:t>
      </w:r>
      <w:r>
        <w:rPr>
          <w:rFonts w:ascii="XCharter" w:hAnsi="XCharter" w:cs="XCharter" w:eastAsia="XCharter"/>
          <w:sz w:val="22"/>
        </w:rPr>
        <w:t xml:space="preserve">on held-out scenarios, against 0.60 for Jev reading the same reasoning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We froze it, with its alarm cutoff, before 84 new episodes were collected; on them it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(594 calls, 26 leaking), meeting its pre-stated criterion. At the frozen cutoff it flagged 14 of the 26 leaking calls, fewer than the 85% in development, with alarms on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alarm details in</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Positives: any public emission (gpt-oss-20b) or the give-in rule (Qwen3-32B). The frozen row is the reasoning probe on 84 new episodes.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probe’s signal is specific to the call that gives in. One call earlier, the last-prompt probe scores only 0.71 on Qwen3-32B and 0.62 on gpt-oss-20b. On gpt-oss-20b, the change of question does most of the work: the round-level probe scores 0.49 on the per-call label; retrained on that label, 0.91. Reading the reasoning adds a modest further gain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sz w:val="22"/>
        </w:rPr>
        <w:t xml:space="preserve">The probe is not just detecting pressure, the secret string or the read step.</w:t>
      </w:r>
      <w:r>
        <w:rPr>
          <w:rFonts w:ascii="XCharter" w:hAnsi="XCharter" w:cs="XCharter" w:eastAsia="XCharter"/>
          <w:sz w:val="22"/>
        </w:rPr>
        <w:t xml:space="preserve"> </w:t>
      </w:r>
      <w:r>
        <w:rPr>
          <w:rFonts w:ascii="XCharter" w:hAnsi="XCharter" w:cs="XCharter" w:eastAsia="XCharter"/>
          <w:i/>
          <w:iCs/>
          <w:sz w:val="22"/>
        </w:rPr>
        <w:t xml:space="preserve">Pressure:</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on gpt-oss-20b, the probe on pre-ask calls (placebo) scores 0.46 to 0.49.</w:t>
      </w:r>
      <w:r>
        <w:rPr>
          <w:rFonts w:ascii="XCharter" w:hAnsi="XCharter" w:cs="XCharter" w:eastAsia="XCharter"/>
          <w:sz w:val="22"/>
        </w:rPr>
        <w:t xml:space="preserve"> </w:t>
      </w:r>
      <w:r>
        <w:rPr>
          <w:rFonts w:ascii="XCharter" w:hAnsi="XCharter" w:cs="XCharter" w:eastAsia="XCharter"/>
          <w:i/>
          <w:iCs/>
          <w:sz w:val="22"/>
        </w:rPr>
        <w:t xml:space="preserve">Secret string:</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and keyword rules score 0.40 to 0.48.</w:t>
      </w:r>
      <w:r>
        <w:rPr>
          <w:rFonts w:ascii="XCharter" w:hAnsi="XCharter" w:cs="XCharter" w:eastAsia="XCharter"/>
          <w:sz w:val="22"/>
        </w:rPr>
        <w:t xml:space="preserve"> </w:t>
      </w:r>
      <w:r>
        <w:rPr>
          <w:rFonts w:ascii="XCharter" w:hAnsi="XCharter" w:cs="XCharter" w:eastAsia="XCharter"/>
          <w:i/>
          <w:iCs/>
          <w:sz w:val="22"/>
        </w:rPr>
        <w:t xml:space="preserve">Read step:</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What the probe reads is not established. On gpt-oss-20b, a probe that reads only the incoming peer message and tool results also reaches 0.93 (one seed). That probe also runs before the call acts, so the result stands, but the signal may come largely from what just arrived (</w:t>
      </w:r>
      <w:hyperlink w:anchor="_7a58329c2353e56a5bd1d72f28e42872a37757f">
        <w:r>
          <w:rPr>
            <w:rStyle w:val="Hyperlink"/>
            <w:rFonts w:ascii="XCharter" w:hAnsi="XCharter" w:cs="XCharter" w:eastAsia="XCharter"/>
            <w:color w:val="000080"/>
            <w:sz w:val="22"/>
            <w:u w:val="none"/>
          </w:rPr>
          <w:t xml:space="preserve">Appendix L.2</w:t>
        </w:r>
      </w:hyperlink>
      <w:r>
        <w:rPr>
          <w:rFonts w:ascii="XCharter" w:hAnsi="XCharter" w:cs="XCharter" w:eastAsia="XCharter"/>
          <w:sz w:val="22"/>
        </w:rPr>
        <w:t xml:space="preserve">). Per-call alarms are also not cheap: with the threshold set for 5% alarms on control calls, 41% of refusing gpt-oss-20b episodes (at least one alarm) and 11% of refusing Qwen3-32B calls alarm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post-hoc rungs include give-in calls, so Qwen3-32B near-term reads 0.67 here, not the confirmed 0.58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The confirmed results are the round-level near-term result below and the reasoning probe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probe that separates pressured from unpressured calls perfectly does not rank who gives in (0.44;</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2,059 calls, 148 near-term positives). Of its 128 channel give-ins, 32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 round-level monitor does best asked to forecast and shown the peer’s messages. Asked to forecast, Jev scores 0.65 on the near-term label; asked to detect, 0.58.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w:t>
      </w:r>
      <w:r>
        <w:rPr>
          <w:rFonts w:ascii="XCharter" w:hAnsi="XCharter" w:cs="XCharter" w:eastAsia="XCharter"/>
          <w:sz w:val="22"/>
        </w:rPr>
        <w:t xml:space="preserve">(episodes collected before the new-episode set), showing the Jev forecaster the peer’s messages on top of the target’s actions raises its score by 0.12, while adding everything else the target saw adds only 0.03, not significant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score as an extra input next to a monitor’s score helps only the weaker monitor: GPT-5-nano gains up to +0.11 on the new episodes but not significantly on held-out scenarios, and Jev gains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is the first defence, and an exact-string filter would catch our leaks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 tool-call blocker alone would not: 127 of gpt-oss-20b’s 128 channel give-ins and 48 of Qwen3-32B’s 98 first channel leaks (plain peer)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per-route probe scores in</w:t>
      </w:r>
      <w:r>
        <w:rPr>
          <w:rFonts w:ascii="XCharter" w:hAnsi="XCharter" w:cs="XCharter" w:eastAsia="XCharter"/>
          <w:sz w:val="22"/>
        </w:rPr>
        <w:t xml:space="preserve"> </w:t>
      </w:r>
      <w:hyperlink w:anchor="_8ce8413e36bee0c123bcc62a0f71b4050680895">
        <w:r>
          <w:rPr>
            <w:rStyle w:val="Hyperlink"/>
            <w:rFonts w:ascii="XCharter" w:hAnsi="XCharter" w:cs="XCharter" w:eastAsia="XCharter"/>
            <w:color w:val="000080"/>
            <w:sz w:val="22"/>
            <w:u w:val="none"/>
          </w:rPr>
          <w:t xml:space="preserve">Appendix L.4</w:t>
        </w:r>
      </w:hyperlink>
      <w:r>
        <w:rPr>
          <w:rFonts w:ascii="XCharter" w:hAnsi="XCharter" w:cs="XCharter" w:eastAsia="XCharter"/>
          <w:sz w:val="22"/>
        </w:rPr>
        <w:t xml:space="preserve">). Values can also be paraphrased or encoded where no string matches; this setup does not test such leaks.</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The probe warns only about the current call, and what it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Future work.</w:t>
      </w:r>
      <w:r>
        <w:rPr>
          <w:rFonts w:ascii="XCharter" w:hAnsi="XCharter" w:cs="XCharter" w:eastAsia="XCharter"/>
          <w:sz w:val="22"/>
        </w:rPr>
        <w:t xml:space="preserve"> </w:t>
      </w:r>
      <w:r>
        <w:rPr>
          <w:rFonts w:ascii="XCharter" w:hAnsi="XCharter" w:cs="XCharter" w:eastAsia="XCharter"/>
          <w:sz w:val="22"/>
        </w:rPr>
        <w:t xml:space="preserve">Next steps are to score per-call probes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conclusion"/>
      <w:r>
        <w:rPr>
          <w:rFonts w:ascii="Old Standard TT" w:hAnsi="Old Standard TT"/>
          <w:b/>
          <w:sz w:val="28"/>
        </w:rPr>
        <w:t xml:space="preserve">6. Conclusion</w:t>
      </w:r>
      <w:bookmarkEnd w:id="40"/>
    </w:p>
    <w:p>
      <w:pPr>
        <w:pStyle w:val="FirstParagraph"/>
        <w:widowControl/>
        <w:spacing w:after="0" w:line="259" w:lineRule="auto"/>
        <w:ind w:firstLine="0"/>
        <w:jc w:val="both"/>
      </w:pPr>
      <w:r>
        <w:rPr>
          <w:rFonts w:ascii="XCharter" w:hAnsi="XCharter" w:cs="XCharter" w:eastAsia="XCharter"/>
          <w:sz w:val="22"/>
        </w:rPr>
        <w:t xml:space="preserve">Asked per call, an agent’s give-in to a recruiting peer can be seen before it happens. A linear probe on the target’s activations predicts which call will give in, on two models, and beats the Jev monitor we evaluated. A probe on the streaming reasoning held on new episodes. Further from the act the signal fades: modest for this round or the next, barely there for the eventual outcome. Activation probes can thus flag an agent about to give in before it acts. The next step is to test them against subtler collusion and its spread between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1f6b0a6dd8de899b0bf2d89a88c0574c2ef490f"/>
      <w:r>
        <w:rPr>
          <w:rFonts w:ascii="Old Standard TT" w:hAnsi="Old Standard TT"/>
          <w:b/>
          <w:sz w:val="28"/>
        </w:rPr>
        <w:t xml:space="preserve">Code and Data</w:t>
      </w:r>
      <w:bookmarkEnd w:id="41"/>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(replay scripts regenerate them). Only a planning commit with no code predates the sprint; the author’s earlier tools Aboard (an agent message board) and Leaf (a viewer for the author’s comments)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2" w:name="_references"/>
      <w:r>
        <w:rPr>
          <w:rFonts w:ascii="Old Standard TT" w:hAnsi="Old Standard TT"/>
          <w:b/>
          <w:sz w:val="28"/>
        </w:rPr>
        <w:t xml:space="preserve">References</w:t>
      </w:r>
      <w:bookmarkEnd w:id="42"/>
    </w:p>
    <w:bookmarkStart w:id="137" w:name="_refs"/>
    <w:p>
      <w:pPr>
        <w:pStyle w:val="Bibliography"/>
        <w:widowControl/>
        <w:spacing w:line="259" w:lineRule="auto" w:after="80"/>
        <w:ind w:left="360" w:hanging="360"/>
        <w:jc w:val="left"/>
      </w:pPr>
      <w:bookmarkStart w:id="44"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3">
        <w:r>
          <w:rPr>
            <w:rStyle w:val="Hyperlink"/>
            <w:rFonts w:ascii="XCharter" w:hAnsi="XCharter" w:cs="XCharter" w:eastAsia="XCharter"/>
            <w:color w:val="000080"/>
            <w:sz w:val="22"/>
            <w:u w:val="none"/>
          </w:rPr>
          <w:t xml:space="preserve">https://www.alphaxiv.org/abs/2610.frozen-states-future-action-prediction</w:t>
        </w:r>
      </w:hyperlink>
      <w:bookmarkEnd w:id="44"/>
    </w:p>
    <w:p>
      <w:pPr>
        <w:pStyle w:val="Bibliography"/>
        <w:widowControl/>
        <w:spacing w:line="259" w:lineRule="auto" w:after="80"/>
        <w:ind w:left="360" w:hanging="360"/>
        <w:jc w:val="left"/>
      </w:pPr>
      <w:bookmarkStart w:id="46"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5">
        <w:r>
          <w:rPr>
            <w:rStyle w:val="Hyperlink"/>
            <w:rFonts w:ascii="XCharter" w:hAnsi="XCharter" w:cs="XCharter" w:eastAsia="XCharter"/>
            <w:color w:val="000080"/>
            <w:sz w:val="22"/>
            <w:u w:val="none"/>
          </w:rPr>
          <w:t xml:space="preserve">https://arxiv.org/abs/2507.01413</w:t>
        </w:r>
      </w:hyperlink>
      <w:bookmarkEnd w:id="46"/>
    </w:p>
    <w:p>
      <w:pPr>
        <w:pStyle w:val="Bibliography"/>
        <w:widowControl/>
        <w:spacing w:line="259" w:lineRule="auto" w:after="80"/>
        <w:ind w:left="360" w:hanging="360"/>
        <w:jc w:val="left"/>
      </w:pPr>
      <w:bookmarkStart w:id="48"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7">
        <w:r>
          <w:rPr>
            <w:rStyle w:val="Hyperlink"/>
            <w:rFonts w:ascii="XCharter" w:hAnsi="XCharter" w:cs="XCharter" w:eastAsia="XCharter"/>
            <w:color w:val="000080"/>
            <w:sz w:val="22"/>
            <w:u w:val="none"/>
          </w:rPr>
          <w:t xml:space="preserve">https://typesafe.ai/blog/introducing-system-one-models-and-jev</w:t>
        </w:r>
      </w:hyperlink>
      <w:bookmarkEnd w:id="48"/>
    </w:p>
    <w:p>
      <w:pPr>
        <w:pStyle w:val="Bibliography"/>
        <w:widowControl/>
        <w:spacing w:line="259" w:lineRule="auto" w:after="80"/>
        <w:ind w:left="360" w:hanging="360"/>
        <w:jc w:val="left"/>
      </w:pPr>
      <w:bookmarkStart w:id="50"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9">
        <w:r>
          <w:rPr>
            <w:rStyle w:val="Hyperlink"/>
            <w:rFonts w:ascii="XCharter" w:hAnsi="XCharter" w:cs="XCharter" w:eastAsia="XCharter"/>
            <w:color w:val="000080"/>
            <w:sz w:val="22"/>
            <w:u w:val="none"/>
          </w:rPr>
          <w:t xml:space="preserve">https://arxiv.org/abs/2601.21112</w:t>
        </w:r>
      </w:hyperlink>
      <w:bookmarkEnd w:id="50"/>
    </w:p>
    <w:p>
      <w:pPr>
        <w:pStyle w:val="Bibliography"/>
        <w:widowControl/>
        <w:spacing w:line="259" w:lineRule="auto" w:after="80"/>
        <w:ind w:left="360" w:hanging="360"/>
        <w:jc w:val="left"/>
      </w:pPr>
      <w:bookmarkStart w:id="52"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1">
        <w:r>
          <w:rPr>
            <w:rStyle w:val="Hyperlink"/>
            <w:rFonts w:ascii="XCharter" w:hAnsi="XCharter" w:cs="XCharter" w:eastAsia="XCharter"/>
            <w:color w:val="000080"/>
            <w:sz w:val="22"/>
            <w:u w:val="none"/>
          </w:rPr>
          <w:t xml:space="preserve">https://arxiv.org/abs/2502.13329</w:t>
        </w:r>
      </w:hyperlink>
      <w:bookmarkEnd w:id="52"/>
    </w:p>
    <w:p>
      <w:pPr>
        <w:pStyle w:val="Bibliography"/>
        <w:widowControl/>
        <w:spacing w:line="259" w:lineRule="auto" w:after="80"/>
        <w:ind w:left="360" w:hanging="360"/>
        <w:jc w:val="left"/>
      </w:pPr>
      <w:bookmarkStart w:id="54"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3">
        <w:r>
          <w:rPr>
            <w:rStyle w:val="Hyperlink"/>
            <w:rFonts w:ascii="XCharter" w:hAnsi="XCharter" w:cs="XCharter" w:eastAsia="XCharter"/>
            <w:color w:val="000080"/>
            <w:sz w:val="22"/>
            <w:u w:val="none"/>
          </w:rPr>
          <w:t xml:space="preserve">https://arxiv.org/abs/2512.03097</w:t>
        </w:r>
      </w:hyperlink>
      <w:bookmarkEnd w:id="54"/>
    </w:p>
    <w:p>
      <w:pPr>
        <w:pStyle w:val="Bibliography"/>
        <w:widowControl/>
        <w:spacing w:line="259" w:lineRule="auto" w:after="80"/>
        <w:ind w:left="360" w:hanging="360"/>
        <w:jc w:val="left"/>
      </w:pPr>
      <w:bookmarkStart w:id="56"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5">
        <w:r>
          <w:rPr>
            <w:rStyle w:val="Hyperlink"/>
            <w:rFonts w:ascii="XCharter" w:hAnsi="XCharter" w:cs="XCharter" w:eastAsia="XCharter"/>
            <w:color w:val="000080"/>
            <w:sz w:val="22"/>
            <w:u w:val="none"/>
          </w:rPr>
          <w:t xml:space="preserve">https://doi.org/10.1145/3786335.3813181</w:t>
        </w:r>
      </w:hyperlink>
      <w:bookmarkEnd w:id="56"/>
    </w:p>
    <w:p>
      <w:pPr>
        <w:pStyle w:val="Bibliography"/>
        <w:widowControl/>
        <w:spacing w:line="259" w:lineRule="auto" w:after="80"/>
        <w:ind w:left="360" w:hanging="360"/>
        <w:jc w:val="left"/>
      </w:pPr>
      <w:bookmarkStart w:id="58"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7">
        <w:r>
          <w:rPr>
            <w:rStyle w:val="Hyperlink"/>
            <w:rFonts w:ascii="XCharter" w:hAnsi="XCharter" w:cs="XCharter" w:eastAsia="XCharter"/>
            <w:color w:val="000080"/>
            <w:sz w:val="22"/>
            <w:u w:val="none"/>
          </w:rPr>
          <w:t xml:space="preserve">https://arxiv.org/abs/2601.04603</w:t>
        </w:r>
      </w:hyperlink>
      <w:bookmarkEnd w:id="58"/>
    </w:p>
    <w:p>
      <w:pPr>
        <w:pStyle w:val="Bibliography"/>
        <w:widowControl/>
        <w:spacing w:line="259" w:lineRule="auto" w:after="80"/>
        <w:ind w:left="360" w:hanging="360"/>
        <w:jc w:val="left"/>
      </w:pPr>
      <w:bookmarkStart w:id="60"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9">
        <w:r>
          <w:rPr>
            <w:rStyle w:val="Hyperlink"/>
            <w:rFonts w:ascii="XCharter" w:hAnsi="XCharter" w:cs="XCharter" w:eastAsia="XCharter"/>
            <w:color w:val="000080"/>
            <w:sz w:val="22"/>
            <w:u w:val="none"/>
          </w:rPr>
          <w:t xml:space="preserve">https://arxiv.org/abs/2406.13352</w:t>
        </w:r>
      </w:hyperlink>
      <w:bookmarkEnd w:id="60"/>
    </w:p>
    <w:p>
      <w:pPr>
        <w:pStyle w:val="Bibliography"/>
        <w:widowControl/>
        <w:spacing w:line="259" w:lineRule="auto" w:after="80"/>
        <w:ind w:left="360" w:hanging="360"/>
        <w:jc w:val="left"/>
      </w:pPr>
      <w:bookmarkStart w:id="62"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1">
        <w:r>
          <w:rPr>
            <w:rStyle w:val="Hyperlink"/>
            <w:rFonts w:ascii="XCharter" w:hAnsi="XCharter" w:cs="XCharter" w:eastAsia="XCharter"/>
            <w:color w:val="000080"/>
            <w:sz w:val="22"/>
            <w:u w:val="none"/>
          </w:rPr>
          <w:t xml:space="preserve">https://openrouter.ai/deepseek/deepseek-v4-flash</w:t>
        </w:r>
      </w:hyperlink>
      <w:bookmarkEnd w:id="62"/>
    </w:p>
    <w:p>
      <w:pPr>
        <w:pStyle w:val="Bibliography"/>
        <w:widowControl/>
        <w:spacing w:line="259" w:lineRule="auto" w:after="80"/>
        <w:ind w:left="360" w:hanging="360"/>
        <w:jc w:val="left"/>
      </w:pPr>
      <w:bookmarkStart w:id="64"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3">
        <w:r>
          <w:rPr>
            <w:rStyle w:val="Hyperlink"/>
            <w:rFonts w:ascii="XCharter" w:hAnsi="XCharter" w:cs="XCharter" w:eastAsia="XCharter"/>
            <w:color w:val="000080"/>
            <w:sz w:val="22"/>
            <w:u w:val="none"/>
          </w:rPr>
          <w:t xml:space="preserve">https://arxiv.org/abs/2608.02657</w:t>
        </w:r>
      </w:hyperlink>
      <w:bookmarkEnd w:id="64"/>
    </w:p>
    <w:p>
      <w:pPr>
        <w:pStyle w:val="Bibliography"/>
        <w:widowControl/>
        <w:spacing w:line="259" w:lineRule="auto" w:after="80"/>
        <w:ind w:left="360" w:hanging="360"/>
        <w:jc w:val="left"/>
      </w:pPr>
      <w:bookmarkStart w:id="66"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5">
        <w:r>
          <w:rPr>
            <w:rStyle w:val="Hyperlink"/>
            <w:rFonts w:ascii="XCharter" w:hAnsi="XCharter" w:cs="XCharter" w:eastAsia="XCharter"/>
            <w:color w:val="000080"/>
            <w:sz w:val="22"/>
            <w:u w:val="none"/>
          </w:rPr>
          <w:t xml:space="preserve">https://arxiv.org/abs/2610.17301</w:t>
        </w:r>
      </w:hyperlink>
      <w:bookmarkEnd w:id="66"/>
    </w:p>
    <w:p>
      <w:pPr>
        <w:pStyle w:val="Bibliography"/>
        <w:widowControl/>
        <w:spacing w:line="259" w:lineRule="auto" w:after="80"/>
        <w:ind w:left="360" w:hanging="360"/>
        <w:jc w:val="left"/>
      </w:pPr>
      <w:bookmarkStart w:id="68"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7">
        <w:r>
          <w:rPr>
            <w:rStyle w:val="Hyperlink"/>
            <w:rFonts w:ascii="XCharter" w:hAnsi="XCharter" w:cs="XCharter" w:eastAsia="XCharter"/>
            <w:color w:val="000080"/>
            <w:sz w:val="22"/>
            <w:u w:val="none"/>
          </w:rPr>
          <w:t xml:space="preserve">https://arxiv.org/abs/2404.00806</w:t>
        </w:r>
      </w:hyperlink>
      <w:bookmarkEnd w:id="68"/>
    </w:p>
    <w:p>
      <w:pPr>
        <w:pStyle w:val="Bibliography"/>
        <w:widowControl/>
        <w:spacing w:line="259" w:lineRule="auto" w:after="80"/>
        <w:ind w:left="360" w:hanging="360"/>
        <w:jc w:val="left"/>
      </w:pPr>
      <w:bookmarkStart w:id="70"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9">
        <w:r>
          <w:rPr>
            <w:rStyle w:val="Hyperlink"/>
            <w:rFonts w:ascii="XCharter" w:hAnsi="XCharter" w:cs="XCharter" w:eastAsia="XCharter"/>
            <w:color w:val="000080"/>
            <w:sz w:val="22"/>
            <w:u w:val="none"/>
          </w:rPr>
          <w:t xml:space="preserve">https://arxiv.org/abs/2606.30449</w:t>
        </w:r>
      </w:hyperlink>
      <w:bookmarkEnd w:id="70"/>
    </w:p>
    <w:p>
      <w:pPr>
        <w:pStyle w:val="Bibliography"/>
        <w:widowControl/>
        <w:spacing w:line="259" w:lineRule="auto" w:after="80"/>
        <w:ind w:left="360" w:hanging="360"/>
        <w:jc w:val="left"/>
      </w:pPr>
      <w:bookmarkStart w:id="72"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1">
        <w:r>
          <w:rPr>
            <w:rStyle w:val="Hyperlink"/>
            <w:rFonts w:ascii="XCharter" w:hAnsi="XCharter" w:cs="XCharter" w:eastAsia="XCharter"/>
            <w:color w:val="000080"/>
            <w:sz w:val="22"/>
            <w:u w:val="none"/>
          </w:rPr>
          <w:t xml:space="preserve">https://arxiv.org/abs/2610.04575</w:t>
        </w:r>
      </w:hyperlink>
      <w:bookmarkEnd w:id="72"/>
    </w:p>
    <w:p>
      <w:pPr>
        <w:pStyle w:val="Bibliography"/>
        <w:widowControl/>
        <w:spacing w:line="259" w:lineRule="auto" w:after="80"/>
        <w:ind w:left="360" w:hanging="360"/>
        <w:jc w:val="left"/>
      </w:pPr>
      <w:bookmarkStart w:id="74"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3">
        <w:r>
          <w:rPr>
            <w:rStyle w:val="Hyperlink"/>
            <w:rFonts w:ascii="XCharter" w:hAnsi="XCharter" w:cs="XCharter" w:eastAsia="XCharter"/>
            <w:color w:val="000080"/>
            <w:sz w:val="22"/>
            <w:u w:val="none"/>
          </w:rPr>
          <w:t xml:space="preserve">https://arxiv.org/abs/2502.03407</w:t>
        </w:r>
      </w:hyperlink>
      <w:bookmarkEnd w:id="74"/>
    </w:p>
    <w:p>
      <w:pPr>
        <w:pStyle w:val="Bibliography"/>
        <w:widowControl/>
        <w:spacing w:line="259" w:lineRule="auto" w:after="80"/>
        <w:ind w:left="360" w:hanging="360"/>
        <w:jc w:val="left"/>
      </w:pPr>
      <w:bookmarkStart w:id="76"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5">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6"/>
    </w:p>
    <w:p>
      <w:pPr>
        <w:pStyle w:val="Bibliography"/>
        <w:widowControl/>
        <w:spacing w:line="259" w:lineRule="auto" w:after="80"/>
        <w:ind w:left="360" w:hanging="360"/>
        <w:jc w:val="left"/>
      </w:pPr>
      <w:bookmarkStart w:id="78"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7">
        <w:r>
          <w:rPr>
            <w:rStyle w:val="Hyperlink"/>
            <w:rFonts w:ascii="XCharter" w:hAnsi="XCharter" w:cs="XCharter" w:eastAsia="XCharter"/>
            <w:color w:val="000080"/>
            <w:sz w:val="22"/>
            <w:u w:val="none"/>
          </w:rPr>
          <w:t xml:space="preserve">https://github.com/UKGovernmentBEIS/control-arena</w:t>
        </w:r>
      </w:hyperlink>
      <w:bookmarkEnd w:id="78"/>
    </w:p>
    <w:p>
      <w:pPr>
        <w:pStyle w:val="Bibliography"/>
        <w:widowControl/>
        <w:spacing w:line="259" w:lineRule="auto" w:after="80"/>
        <w:ind w:left="360" w:hanging="360"/>
        <w:jc w:val="left"/>
      </w:pPr>
      <w:bookmarkStart w:id="80" w:name="_47a14f87b50f826fa97c5a2719a69f05762d3bd"/>
      <w:r>
        <w:rPr>
          <w:rFonts w:ascii="XCharter" w:hAnsi="XCharter" w:cs="XCharter" w:eastAsia="XCharter"/>
          <w:sz w:val="22"/>
        </w:rPr>
        <w:t xml:space="preserve">Jia, H., Liu, Y., Chong, B., Yang, Y., Chen, Y., Liang, J., Li, Q., Lu, H., Xu, K., Zheng, H., Zhang, C., Huang, Y., Zhang, J., Qi, Y., Lin, Y., &amp; Peng, H. (2026).</w:t>
      </w:r>
      <w:r>
        <w:rPr>
          <w:rFonts w:ascii="XCharter" w:hAnsi="XCharter" w:cs="XCharter" w:eastAsia="XCharter"/>
          <w:sz w:val="22"/>
        </w:rPr>
        <w:t xml:space="preserve"> </w:t>
      </w:r>
      <w:r>
        <w:rPr>
          <w:rFonts w:ascii="XCharter" w:hAnsi="XCharter" w:cs="XCharter" w:eastAsia="XCharter"/>
          <w:i/>
          <w:iCs/>
          <w:sz w:val="22"/>
        </w:rPr>
        <w:t xml:space="preserve">The window is in the reasoning: When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decide to follow prompt injections</w:t>
      </w:r>
      <w:r>
        <w:rPr>
          <w:rFonts w:ascii="XCharter" w:hAnsi="XCharter" w:cs="XCharter" w:eastAsia="XCharter"/>
          <w:sz w:val="22"/>
        </w:rPr>
        <w:t xml:space="preserve">. arXiv preprint arXiv:2610.24048.</w:t>
      </w:r>
      <w:r>
        <w:rPr>
          <w:rFonts w:ascii="XCharter" w:hAnsi="XCharter" w:cs="XCharter" w:eastAsia="XCharter"/>
          <w:sz w:val="22"/>
        </w:rPr>
        <w:t xml:space="preserve"> </w:t>
      </w:r>
      <w:hyperlink r:id="rId79">
        <w:r>
          <w:rPr>
            <w:rStyle w:val="Hyperlink"/>
            <w:rFonts w:ascii="XCharter" w:hAnsi="XCharter" w:cs="XCharter" w:eastAsia="XCharter"/>
            <w:color w:val="000080"/>
            <w:sz w:val="22"/>
            <w:u w:val="none"/>
          </w:rPr>
          <w:t xml:space="preserve">https://arxiv.org/abs/2610.24048</w:t>
        </w:r>
      </w:hyperlink>
      <w:bookmarkEnd w:id="80"/>
    </w:p>
    <w:p>
      <w:pPr>
        <w:pStyle w:val="Bibliography"/>
        <w:widowControl/>
        <w:spacing w:line="259" w:lineRule="auto" w:after="80"/>
        <w:ind w:left="360" w:hanging="360"/>
        <w:jc w:val="left"/>
      </w:pPr>
      <w:bookmarkStart w:id="82"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1">
        <w:r>
          <w:rPr>
            <w:rStyle w:val="Hyperlink"/>
            <w:rFonts w:ascii="XCharter" w:hAnsi="XCharter" w:cs="XCharter" w:eastAsia="XCharter"/>
            <w:color w:val="000080"/>
            <w:sz w:val="22"/>
            <w:u w:val="none"/>
          </w:rPr>
          <w:t xml:space="preserve">https://arxiv.org/abs/2411.03343</w:t>
        </w:r>
      </w:hyperlink>
      <w:bookmarkEnd w:id="82"/>
    </w:p>
    <w:p>
      <w:pPr>
        <w:pStyle w:val="Bibliography"/>
        <w:widowControl/>
        <w:spacing w:line="259" w:lineRule="auto" w:after="80"/>
        <w:ind w:left="360" w:hanging="360"/>
        <w:jc w:val="left"/>
      </w:pPr>
      <w:bookmarkStart w:id="84"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3">
        <w:r>
          <w:rPr>
            <w:rStyle w:val="Hyperlink"/>
            <w:rFonts w:ascii="XCharter" w:hAnsi="XCharter" w:cs="XCharter" w:eastAsia="XCharter"/>
            <w:color w:val="000080"/>
            <w:sz w:val="22"/>
            <w:u w:val="none"/>
          </w:rPr>
          <w:t xml:space="preserve">https://arxiv.org/abs/2606.11172</w:t>
        </w:r>
      </w:hyperlink>
      <w:bookmarkEnd w:id="84"/>
    </w:p>
    <w:p>
      <w:pPr>
        <w:pStyle w:val="Bibliography"/>
        <w:widowControl/>
        <w:spacing w:line="259" w:lineRule="auto" w:after="80"/>
        <w:ind w:left="360" w:hanging="360"/>
        <w:jc w:val="left"/>
      </w:pPr>
      <w:bookmarkStart w:id="86"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5">
        <w:r>
          <w:rPr>
            <w:rStyle w:val="Hyperlink"/>
            <w:rFonts w:ascii="XCharter" w:hAnsi="XCharter" w:cs="XCharter" w:eastAsia="XCharter"/>
            <w:color w:val="000080"/>
            <w:sz w:val="22"/>
            <w:u w:val="none"/>
          </w:rPr>
          <w:t xml:space="preserve">https://arxiv.org/abs/2601.11516</w:t>
        </w:r>
      </w:hyperlink>
      <w:bookmarkEnd w:id="86"/>
    </w:p>
    <w:p>
      <w:pPr>
        <w:pStyle w:val="Bibliography"/>
        <w:widowControl/>
        <w:spacing w:line="259" w:lineRule="auto" w:after="80"/>
        <w:ind w:left="360" w:hanging="360"/>
        <w:jc w:val="left"/>
      </w:pPr>
      <w:bookmarkStart w:id="88"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7">
        <w:r>
          <w:rPr>
            <w:rStyle w:val="Hyperlink"/>
            <w:rFonts w:ascii="XCharter" w:hAnsi="XCharter" w:cs="XCharter" w:eastAsia="XCharter"/>
            <w:color w:val="000080"/>
            <w:sz w:val="22"/>
            <w:u w:val="none"/>
          </w:rPr>
          <w:t xml:space="preserve">https://arxiv.org/abs/2410.00031</w:t>
        </w:r>
      </w:hyperlink>
      <w:bookmarkEnd w:id="88"/>
    </w:p>
    <w:p>
      <w:pPr>
        <w:pStyle w:val="Bibliography"/>
        <w:widowControl/>
        <w:spacing w:line="259" w:lineRule="auto" w:after="80"/>
        <w:ind w:left="360" w:hanging="360"/>
        <w:jc w:val="left"/>
      </w:pPr>
      <w:bookmarkStart w:id="90"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9">
        <w:r>
          <w:rPr>
            <w:rStyle w:val="Hyperlink"/>
            <w:rFonts w:ascii="XCharter" w:hAnsi="XCharter" w:cs="XCharter" w:eastAsia="XCharter"/>
            <w:color w:val="000080"/>
            <w:sz w:val="22"/>
            <w:u w:val="none"/>
          </w:rPr>
          <w:t xml:space="preserve">https://www.usenix.org/conference/usenixsecurity24/presentation/liu-yupei</w:t>
        </w:r>
      </w:hyperlink>
      <w:bookmarkEnd w:id="90"/>
    </w:p>
    <w:p>
      <w:pPr>
        <w:pStyle w:val="Bibliography"/>
        <w:widowControl/>
        <w:spacing w:line="259" w:lineRule="auto" w:after="80"/>
        <w:ind w:left="360" w:hanging="360"/>
        <w:jc w:val="left"/>
      </w:pPr>
      <w:bookmarkStart w:id="92"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1">
        <w:r>
          <w:rPr>
            <w:rStyle w:val="Hyperlink"/>
            <w:rFonts w:ascii="XCharter" w:hAnsi="XCharter" w:cs="XCharter" w:eastAsia="XCharter"/>
            <w:color w:val="000080"/>
            <w:sz w:val="22"/>
            <w:u w:val="none"/>
          </w:rPr>
          <w:t xml:space="preserve">https://www.anthropic.com/news/probes-catch-sleeper-agents</w:t>
        </w:r>
      </w:hyperlink>
      <w:bookmarkEnd w:id="92"/>
    </w:p>
    <w:p>
      <w:pPr>
        <w:pStyle w:val="Bibliography"/>
        <w:widowControl/>
        <w:spacing w:line="259" w:lineRule="auto" w:after="80"/>
        <w:ind w:left="360" w:hanging="360"/>
        <w:jc w:val="left"/>
      </w:pPr>
      <w:bookmarkStart w:id="94"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3">
        <w:r>
          <w:rPr>
            <w:rStyle w:val="Hyperlink"/>
            <w:rFonts w:ascii="XCharter" w:hAnsi="XCharter" w:cs="XCharter" w:eastAsia="XCharter"/>
            <w:color w:val="000080"/>
            <w:sz w:val="22"/>
            <w:u w:val="none"/>
          </w:rPr>
          <w:t xml:space="preserve">https://arxiv.org/abs/2506.10805</w:t>
        </w:r>
      </w:hyperlink>
      <w:bookmarkEnd w:id="94"/>
    </w:p>
    <w:p>
      <w:pPr>
        <w:pStyle w:val="Bibliography"/>
        <w:widowControl/>
        <w:spacing w:line="259" w:lineRule="auto" w:after="80"/>
        <w:ind w:left="360" w:hanging="360"/>
        <w:jc w:val="left"/>
      </w:pPr>
      <w:bookmarkStart w:id="96"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5">
        <w:r>
          <w:rPr>
            <w:rStyle w:val="Hyperlink"/>
            <w:rFonts w:ascii="XCharter" w:hAnsi="XCharter" w:cs="XCharter" w:eastAsia="XCharter"/>
            <w:color w:val="000080"/>
            <w:sz w:val="22"/>
            <w:u w:val="none"/>
          </w:rPr>
          <w:t xml:space="preserve">https://arxiv.org/abs/2602.15198</w:t>
        </w:r>
      </w:hyperlink>
      <w:bookmarkEnd w:id="96"/>
    </w:p>
    <w:p>
      <w:pPr>
        <w:pStyle w:val="Bibliography"/>
        <w:widowControl/>
        <w:spacing w:line="259" w:lineRule="auto" w:after="80"/>
        <w:ind w:left="360" w:hanging="360"/>
        <w:jc w:val="left"/>
      </w:pPr>
      <w:bookmarkStart w:id="98"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7">
        <w:r>
          <w:rPr>
            <w:rStyle w:val="Hyperlink"/>
            <w:rFonts w:ascii="XCharter" w:hAnsi="XCharter" w:cs="XCharter" w:eastAsia="XCharter"/>
            <w:color w:val="000080"/>
            <w:sz w:val="22"/>
            <w:u w:val="none"/>
          </w:rPr>
          <w:t xml:space="preserve">https://platform.openai.com/docs/models/gpt-5-nano</w:t>
        </w:r>
      </w:hyperlink>
      <w:bookmarkEnd w:id="98"/>
    </w:p>
    <w:p>
      <w:pPr>
        <w:pStyle w:val="Bibliography"/>
        <w:widowControl/>
        <w:spacing w:line="259" w:lineRule="auto" w:after="80"/>
        <w:ind w:left="360" w:hanging="360"/>
        <w:jc w:val="left"/>
      </w:pPr>
      <w:bookmarkStart w:id="100"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9">
        <w:r>
          <w:rPr>
            <w:rStyle w:val="Hyperlink"/>
            <w:rFonts w:ascii="XCharter" w:hAnsi="XCharter" w:cs="XCharter" w:eastAsia="XCharter"/>
            <w:color w:val="000080"/>
            <w:sz w:val="22"/>
            <w:u w:val="none"/>
          </w:rPr>
          <w:t xml:space="preserve">https://arxiv.org/abs/2508.10925</w:t>
        </w:r>
      </w:hyperlink>
      <w:bookmarkEnd w:id="100"/>
    </w:p>
    <w:p>
      <w:pPr>
        <w:pStyle w:val="Bibliography"/>
        <w:widowControl/>
        <w:spacing w:line="259" w:lineRule="auto" w:after="80"/>
        <w:ind w:left="360" w:hanging="360"/>
        <w:jc w:val="left"/>
      </w:pPr>
      <w:bookmarkStart w:id="102"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1">
        <w:r>
          <w:rPr>
            <w:rStyle w:val="Hyperlink"/>
            <w:rFonts w:ascii="XCharter" w:hAnsi="XCharter" w:cs="XCharter" w:eastAsia="XCharter"/>
            <w:color w:val="000080"/>
            <w:sz w:val="22"/>
            <w:u w:val="none"/>
          </w:rPr>
          <w:t xml:space="preserve">https://huggingface.co/openai/gpt-oss-20b</w:t>
        </w:r>
      </w:hyperlink>
      <w:bookmarkEnd w:id="102"/>
    </w:p>
    <w:p>
      <w:pPr>
        <w:pStyle w:val="Bibliography"/>
        <w:widowControl/>
        <w:spacing w:line="259" w:lineRule="auto" w:after="80"/>
        <w:ind w:left="360" w:hanging="360"/>
        <w:jc w:val="left"/>
      </w:pPr>
      <w:bookmarkStart w:id="104"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3">
        <w:r>
          <w:rPr>
            <w:rStyle w:val="Hyperlink"/>
            <w:rFonts w:ascii="XCharter" w:hAnsi="XCharter" w:cs="XCharter" w:eastAsia="XCharter"/>
            <w:color w:val="000080"/>
            <w:sz w:val="22"/>
            <w:u w:val="none"/>
          </w:rPr>
          <w:t xml:space="preserve">https://openrouter.ai/openai/gpt-6-luna-decisions</w:t>
        </w:r>
      </w:hyperlink>
      <w:bookmarkEnd w:id="104"/>
    </w:p>
    <w:p>
      <w:pPr>
        <w:pStyle w:val="Bibliography"/>
        <w:widowControl/>
        <w:spacing w:line="259" w:lineRule="auto" w:after="80"/>
        <w:ind w:left="360" w:hanging="360"/>
        <w:jc w:val="left"/>
      </w:pPr>
      <w:bookmarkStart w:id="106"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5">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6"/>
    </w:p>
    <w:p>
      <w:pPr>
        <w:pStyle w:val="Bibliography"/>
        <w:widowControl/>
        <w:spacing w:line="259" w:lineRule="auto" w:after="80"/>
        <w:ind w:left="360" w:hanging="360"/>
        <w:jc w:val="left"/>
      </w:pPr>
      <w:bookmarkStart w:id="108"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7">
        <w:r>
          <w:rPr>
            <w:rStyle w:val="Hyperlink"/>
            <w:rFonts w:ascii="XCharter" w:hAnsi="XCharter" w:cs="XCharter" w:eastAsia="XCharter"/>
            <w:color w:val="000080"/>
            <w:sz w:val="22"/>
            <w:u w:val="none"/>
          </w:rPr>
          <w:t xml:space="preserve">https://arxiv.org/abs/2609.35576</w:t>
        </w:r>
      </w:hyperlink>
      <w:bookmarkEnd w:id="108"/>
    </w:p>
    <w:p>
      <w:pPr>
        <w:pStyle w:val="Bibliography"/>
        <w:widowControl/>
        <w:spacing w:line="259" w:lineRule="auto" w:after="80"/>
        <w:ind w:left="360" w:hanging="360"/>
        <w:jc w:val="left"/>
      </w:pPr>
      <w:bookmarkStart w:id="110"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9">
        <w:r>
          <w:rPr>
            <w:rStyle w:val="Hyperlink"/>
            <w:rFonts w:ascii="XCharter" w:hAnsi="XCharter" w:cs="XCharter" w:eastAsia="XCharter"/>
            <w:color w:val="000080"/>
            <w:sz w:val="22"/>
            <w:u w:val="none"/>
          </w:rPr>
          <w:t xml:space="preserve">https://huggingface.co/Qwen/Qwen3-32B</w:t>
        </w:r>
      </w:hyperlink>
      <w:bookmarkEnd w:id="110"/>
    </w:p>
    <w:p>
      <w:pPr>
        <w:pStyle w:val="Bibliography"/>
        <w:widowControl/>
        <w:spacing w:line="259" w:lineRule="auto" w:after="80"/>
        <w:ind w:left="360" w:hanging="360"/>
        <w:jc w:val="left"/>
      </w:pPr>
      <w:bookmarkStart w:id="112"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1">
        <w:r>
          <w:rPr>
            <w:rStyle w:val="Hyperlink"/>
            <w:rFonts w:ascii="XCharter" w:hAnsi="XCharter" w:cs="XCharter" w:eastAsia="XCharter"/>
            <w:color w:val="000080"/>
            <w:sz w:val="22"/>
            <w:u w:val="none"/>
          </w:rPr>
          <w:t xml:space="preserve">https://arxiv.org/abs/2605.29178</w:t>
        </w:r>
      </w:hyperlink>
      <w:bookmarkEnd w:id="112"/>
    </w:p>
    <w:p>
      <w:pPr>
        <w:pStyle w:val="Bibliography"/>
        <w:widowControl/>
        <w:spacing w:line="259" w:lineRule="auto" w:after="80"/>
        <w:ind w:left="360" w:hanging="360"/>
        <w:jc w:val="left"/>
      </w:pPr>
      <w:bookmarkStart w:id="114"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3">
        <w:r>
          <w:rPr>
            <w:rStyle w:val="Hyperlink"/>
            <w:rFonts w:ascii="XCharter" w:hAnsi="XCharter" w:cs="XCharter" w:eastAsia="XCharter"/>
            <w:color w:val="000080"/>
            <w:sz w:val="22"/>
            <w:u w:val="none"/>
          </w:rPr>
          <w:t xml:space="preserve">https://arxiv.org/abs/2604.01151</w:t>
        </w:r>
      </w:hyperlink>
      <w:bookmarkEnd w:id="114"/>
    </w:p>
    <w:p>
      <w:pPr>
        <w:pStyle w:val="Bibliography"/>
        <w:widowControl/>
        <w:spacing w:line="259" w:lineRule="auto" w:after="80"/>
        <w:ind w:left="360" w:hanging="360"/>
        <w:jc w:val="left"/>
      </w:pPr>
      <w:bookmarkStart w:id="116"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5">
        <w:r>
          <w:rPr>
            <w:rStyle w:val="Hyperlink"/>
            <w:rFonts w:ascii="XCharter" w:hAnsi="XCharter" w:cs="XCharter" w:eastAsia="XCharter"/>
            <w:color w:val="000080"/>
            <w:sz w:val="22"/>
            <w:u w:val="none"/>
          </w:rPr>
          <w:t xml:space="preserve">https://arxiv.org/abs/2607.06503</w:t>
        </w:r>
      </w:hyperlink>
      <w:bookmarkEnd w:id="116"/>
    </w:p>
    <w:p>
      <w:pPr>
        <w:pStyle w:val="Bibliography"/>
        <w:widowControl/>
        <w:spacing w:line="259" w:lineRule="auto" w:after="80"/>
        <w:ind w:left="360" w:hanging="360"/>
        <w:jc w:val="left"/>
      </w:pPr>
      <w:bookmarkStart w:id="118"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7">
        <w:r>
          <w:rPr>
            <w:rStyle w:val="Hyperlink"/>
            <w:rFonts w:ascii="XCharter" w:hAnsi="XCharter" w:cs="XCharter" w:eastAsia="XCharter"/>
            <w:color w:val="000080"/>
            <w:sz w:val="22"/>
            <w:u w:val="none"/>
          </w:rPr>
          <w:t xml:space="preserve">https://github.com/soham-padia/pre-sycophancy-study</w:t>
        </w:r>
      </w:hyperlink>
      <w:bookmarkEnd w:id="118"/>
    </w:p>
    <w:p>
      <w:pPr>
        <w:pStyle w:val="Bibliography"/>
        <w:widowControl/>
        <w:spacing w:line="259" w:lineRule="auto" w:after="80"/>
        <w:ind w:left="360" w:hanging="360"/>
        <w:jc w:val="left"/>
      </w:pPr>
      <w:bookmarkStart w:id="120"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9">
        <w:r>
          <w:rPr>
            <w:rStyle w:val="Hyperlink"/>
            <w:rFonts w:ascii="XCharter" w:hAnsi="XCharter" w:cs="XCharter" w:eastAsia="XCharter"/>
            <w:color w:val="000080"/>
            <w:sz w:val="22"/>
            <w:u w:val="none"/>
          </w:rPr>
          <w:t xml:space="preserve">https://arxiv.org/abs/2501.18837</w:t>
        </w:r>
      </w:hyperlink>
      <w:bookmarkEnd w:id="120"/>
    </w:p>
    <w:p>
      <w:pPr>
        <w:pStyle w:val="Bibliography"/>
        <w:widowControl/>
        <w:spacing w:line="259" w:lineRule="auto" w:after="80"/>
        <w:ind w:left="360" w:hanging="360"/>
        <w:jc w:val="left"/>
      </w:pPr>
      <w:bookmarkStart w:id="122"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1">
        <w:r>
          <w:rPr>
            <w:rStyle w:val="Hyperlink"/>
            <w:rFonts w:ascii="XCharter" w:hAnsi="XCharter" w:cs="XCharter" w:eastAsia="XCharter"/>
            <w:color w:val="000080"/>
            <w:sz w:val="22"/>
            <w:u w:val="none"/>
          </w:rPr>
          <w:t xml:space="preserve">https://arxiv.org/abs/2607.05132</w:t>
        </w:r>
      </w:hyperlink>
      <w:bookmarkEnd w:id="122"/>
    </w:p>
    <w:p>
      <w:pPr>
        <w:pStyle w:val="Bibliography"/>
        <w:widowControl/>
        <w:spacing w:line="259" w:lineRule="auto" w:after="80"/>
        <w:ind w:left="360" w:hanging="360"/>
        <w:jc w:val="left"/>
      </w:pPr>
      <w:bookmarkStart w:id="124"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3">
        <w:r>
          <w:rPr>
            <w:rStyle w:val="Hyperlink"/>
            <w:rFonts w:ascii="XCharter" w:hAnsi="XCharter" w:cs="XCharter" w:eastAsia="XCharter"/>
            <w:color w:val="000080"/>
            <w:sz w:val="22"/>
            <w:u w:val="none"/>
          </w:rPr>
          <w:t xml:space="preserve">https://arxiv.org/abs/2609.24967</w:t>
        </w:r>
      </w:hyperlink>
      <w:bookmarkEnd w:id="124"/>
    </w:p>
    <w:p>
      <w:pPr>
        <w:pStyle w:val="Bibliography"/>
        <w:widowControl/>
        <w:spacing w:line="259" w:lineRule="auto" w:after="80"/>
        <w:ind w:left="360" w:hanging="360"/>
        <w:jc w:val="left"/>
      </w:pPr>
      <w:bookmarkStart w:id="126"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5">
        <w:r>
          <w:rPr>
            <w:rStyle w:val="Hyperlink"/>
            <w:rFonts w:ascii="XCharter" w:hAnsi="XCharter" w:cs="XCharter" w:eastAsia="XCharter"/>
            <w:color w:val="000080"/>
            <w:sz w:val="22"/>
            <w:u w:val="none"/>
          </w:rPr>
          <w:t xml:space="preserve">https://arxiv.org/abs/2609.09090</w:t>
        </w:r>
      </w:hyperlink>
      <w:bookmarkEnd w:id="126"/>
    </w:p>
    <w:p>
      <w:pPr>
        <w:pStyle w:val="Bibliography"/>
        <w:widowControl/>
        <w:spacing w:line="259" w:lineRule="auto" w:after="80"/>
        <w:ind w:left="360" w:hanging="360"/>
        <w:jc w:val="left"/>
      </w:pPr>
      <w:bookmarkStart w:id="128"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7">
        <w:r>
          <w:rPr>
            <w:rStyle w:val="Hyperlink"/>
            <w:rFonts w:ascii="XCharter" w:hAnsi="XCharter" w:cs="XCharter" w:eastAsia="XCharter"/>
            <w:color w:val="000080"/>
            <w:sz w:val="22"/>
            <w:u w:val="none"/>
          </w:rPr>
          <w:t xml:space="preserve">https://arxiv.org/abs/2603.13940</w:t>
        </w:r>
      </w:hyperlink>
      <w:bookmarkEnd w:id="128"/>
    </w:p>
    <w:p>
      <w:pPr>
        <w:pStyle w:val="Bibliography"/>
        <w:widowControl/>
        <w:spacing w:line="259" w:lineRule="auto" w:after="80"/>
        <w:ind w:left="360" w:hanging="360"/>
        <w:jc w:val="left"/>
      </w:pPr>
      <w:bookmarkStart w:id="130"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9">
        <w:r>
          <w:rPr>
            <w:rStyle w:val="Hyperlink"/>
            <w:rFonts w:ascii="XCharter" w:hAnsi="XCharter" w:cs="XCharter" w:eastAsia="XCharter"/>
            <w:color w:val="000080"/>
            <w:sz w:val="22"/>
            <w:u w:val="none"/>
          </w:rPr>
          <w:t xml:space="preserve">https://arxiv.org/abs/2604.16824</w:t>
        </w:r>
      </w:hyperlink>
      <w:bookmarkEnd w:id="130"/>
    </w:p>
    <w:p>
      <w:pPr>
        <w:pStyle w:val="Bibliography"/>
        <w:widowControl/>
        <w:spacing w:line="259" w:lineRule="auto" w:after="80"/>
        <w:ind w:left="360" w:hanging="360"/>
        <w:jc w:val="left"/>
      </w:pPr>
      <w:bookmarkStart w:id="132"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1">
        <w:r>
          <w:rPr>
            <w:rStyle w:val="Hyperlink"/>
            <w:rFonts w:ascii="XCharter" w:hAnsi="XCharter" w:cs="XCharter" w:eastAsia="XCharter"/>
            <w:color w:val="000080"/>
            <w:sz w:val="22"/>
            <w:u w:val="none"/>
          </w:rPr>
          <w:t xml:space="preserve">https://arxiv.org/abs/2505.09388</w:t>
        </w:r>
      </w:hyperlink>
      <w:bookmarkEnd w:id="132"/>
    </w:p>
    <w:p>
      <w:pPr>
        <w:pStyle w:val="Bibliography"/>
        <w:widowControl/>
        <w:spacing w:line="259" w:lineRule="auto" w:after="80"/>
        <w:ind w:left="360" w:hanging="360"/>
        <w:jc w:val="left"/>
      </w:pPr>
      <w:bookmarkStart w:id="134"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3">
        <w:r>
          <w:rPr>
            <w:rStyle w:val="Hyperlink"/>
            <w:rFonts w:ascii="XCharter" w:hAnsi="XCharter" w:cs="XCharter" w:eastAsia="XCharter"/>
            <w:color w:val="000080"/>
            <w:sz w:val="22"/>
            <w:u w:val="none"/>
          </w:rPr>
          <w:t xml:space="preserve">https://arxiv.org/abs/2610.05295</w:t>
        </w:r>
      </w:hyperlink>
      <w:bookmarkEnd w:id="134"/>
    </w:p>
    <w:p>
      <w:pPr>
        <w:pStyle w:val="Bibliography"/>
        <w:widowControl/>
        <w:spacing w:line="259" w:lineRule="auto" w:after="80"/>
        <w:ind w:left="360" w:hanging="360"/>
        <w:jc w:val="left"/>
      </w:pPr>
      <w:bookmarkStart w:id="136"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5">
        <w:r>
          <w:rPr>
            <w:rStyle w:val="Hyperlink"/>
            <w:rFonts w:ascii="XCharter" w:hAnsi="XCharter" w:cs="XCharter" w:eastAsia="XCharter"/>
            <w:color w:val="000080"/>
            <w:sz w:val="22"/>
            <w:u w:val="none"/>
          </w:rPr>
          <w:t xml:space="preserve">https://arxiv.org/abs/2605.27593</w:t>
        </w:r>
      </w:hyperlink>
      <w:bookmarkEnd w:id="136"/>
    </w:p>
    <w:bookmarkEnd w:id="137"/>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8" w:name="_appendix"/>
      <w:r>
        <w:rPr>
          <w:rFonts w:ascii="Old Standard TT" w:hAnsi="Old Standard TT"/>
          <w:b/>
          <w:sz w:val="28"/>
        </w:rPr>
        <w:t xml:space="preserve">Appendix</w:t>
      </w:r>
      <w:bookmarkEnd w:id="138"/>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d863e5dd50f3a2c5a9f9d67c38d6db1a7983c65"/>
      <w:r>
        <w:rPr>
          <w:rFonts w:ascii="Old Standard TT" w:hAnsi="Old Standard TT"/>
          <w:b/>
          <w:sz w:val="26"/>
        </w:rPr>
        <w:t xml:space="preserve">A. Limitations and Dual-Use / Ethical Considerations</w:t>
      </w:r>
      <w:bookmarkEnd w:id="139"/>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 Probes on the target’s activations could add an earlier warning on top of such a filter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40" w:name="_1c2832545d6be5937b2db194f5b1e2f4105b9d9"/>
      <w:r>
        <w:rPr>
          <w:rFonts w:ascii="Old Standard TT" w:hAnsi="Old Standard TT"/>
          <w:b/>
          <w:sz w:val="26"/>
        </w:rPr>
        <w:t xml:space="preserve">B. Experimental Pipeline and Reproducibility</w:t>
      </w:r>
      <w:bookmarkEnd w:id="140"/>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2" name="Picture"/>
            <a:graphic>
              <a:graphicData uri="http://schemas.openxmlformats.org/drawingml/2006/picture">
                <pic:pic>
                  <pic:nvPicPr>
                    <pic:cNvPr descr="figures/pipeline.png" id="143" name="Picture"/>
                    <pic:cNvPicPr>
                      <a:picLocks noChangeArrowheads="1" noChangeAspect="1"/>
                    </pic:cNvPicPr>
                  </pic:nvPicPr>
                  <pic:blipFill>
                    <a:blip r:embed="rId141"/>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4"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4"/>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5" w:name="_29f519cfe2b273e1f41de0c770c5dd81f1818a5"/>
      <w:r>
        <w:rPr>
          <w:rFonts w:ascii="Old Standard TT" w:hAnsi="Old Standard TT"/>
          <w:b/>
          <w:sz w:val="26"/>
        </w:rPr>
        <w:t xml:space="preserve">C. Scenarios, an Example, and Model Choice</w:t>
      </w:r>
      <w:bookmarkEnd w:id="145"/>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6"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6"/>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9af0a0be73df5a4a2132a3bbde2a7aaba8a9fb7"/>
      <w:r>
        <w:rPr>
          <w:rFonts w:ascii="Old Standard TT" w:hAnsi="Old Standard TT"/>
          <w:b/>
          <w:sz w:val="26"/>
        </w:rPr>
        <w:t xml:space="preserve">D. Labels and Judges</w:t>
      </w:r>
      <w:bookmarkEnd w:id="147"/>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the 98 first channel leaks of the plain-peer behaviour slice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8" w:name="_16e1c949c1569f7f4050c474671b93e6b4d1bae"/>
      <w:r>
        <w:rPr>
          <w:rFonts w:ascii="Old Standard TT" w:hAnsi="Old Standard TT"/>
          <w:b/>
          <w:sz w:val="26"/>
        </w:rPr>
        <w:t xml:space="preserve">E. Detectors and Evaluation</w:t>
      </w:r>
      <w:bookmarkEnd w:id="148"/>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probe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(logistic regression on residual-stream activations);</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9"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possible optimism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10);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1" name="Picture"/>
            <a:graphic>
              <a:graphicData uri="http://schemas.openxmlformats.org/drawingml/2006/picture">
                <pic:pic>
                  <pic:nvPicPr>
                    <pic:cNvPr descr="figures/figure_monitor_design.png" id="152" name="Picture"/>
                    <pic:cNvPicPr>
                      <a:picLocks noChangeArrowheads="1" noChangeAspect="1"/>
                    </pic:cNvPicPr>
                  </pic:nvPicPr>
                  <pic:blipFill>
                    <a:blip r:embed="rId150"/>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3"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4"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4"/>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(+0.123 [0.06, 0.18] for adding the conversation to the Jev forecaster, and +0.03 [−0.00, 0.05] for adding everything else the target saw)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5" w:name="_e774c98102b53efba7d6294684718b8ff2eaeba"/>
      <w:r>
        <w:rPr>
          <w:rFonts w:ascii="Old Standard TT" w:hAnsi="Old Standard TT"/>
          <w:b/>
          <w:sz w:val="26"/>
        </w:rPr>
        <w:t xml:space="preserve">F. Second Target: gpt-oss-20b (and Gemma-4-31B)</w:t>
      </w:r>
      <w:bookmarkEnd w:id="155"/>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operator policy and the tool-log procedure; the labels and the within scenario × round metric; the detector recipes; and the matched controls. Changed for gpt-oss: the scored endpoint (Qwen give-ins also count file writes outside the private file in five scenarios; gpt-oss round-level labels count channel posts only,</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In the full collection, 200 of the 300 recruiting episodes emitted the value publicly; their first public disclosure, a file write in 196 of the 200,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6"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6"/>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7" w:name="_190f1226d051d30d3bf4384ba25f172a7a45b0c"/>
      <w:r>
        <w:rPr>
          <w:rFonts w:ascii="Old Standard TT" w:hAnsi="Old Standard TT"/>
          <w:b/>
          <w:sz w:val="26"/>
        </w:rPr>
        <w:t xml:space="preserve">G. Behaviour Screening</w:t>
      </w:r>
      <w:bookmarkEnd w:id="157"/>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8"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9" w:name="_4113352bd13d302125766053daea31ad42500bd"/>
      <w:r>
        <w:rPr>
          <w:rFonts w:ascii="Old Standard TT" w:hAnsi="Old Standard TT"/>
          <w:b/>
          <w:sz w:val="26"/>
        </w:rPr>
        <w:t xml:space="preserve">H. Robustness and Diagnostics for the Round-Level Results</w:t>
      </w:r>
      <w:bookmarkEnd w:id="159"/>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60"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1"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2"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4" name="Picture"/>
            <a:graphic>
              <a:graphicData uri="http://schemas.openxmlformats.org/drawingml/2006/picture">
                <pic:pic>
                  <pic:nvPicPr>
                    <pic:cNvPr descr="figures/appendix_h_layers.png" id="165" name="Picture"/>
                    <pic:cNvPicPr>
                      <a:picLocks noChangeArrowheads="1" noChangeAspect="1"/>
                    </pic:cNvPicPr>
                  </pic:nvPicPr>
                  <pic:blipFill>
                    <a:blip r:embed="rId163"/>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6"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6"/>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889344895f04d1f9f75d0ebcc55c0e9d025ecfb"/>
      <w:r>
        <w:rPr>
          <w:rFonts w:ascii="Old Standard TT" w:hAnsi="Old Standard TT"/>
          <w:b/>
          <w:sz w:val="26"/>
        </w:rPr>
        <w:t xml:space="preserve">I. Prompts</w:t>
      </w:r>
      <w:bookmarkEnd w:id="167"/>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33bf1cd3074762475a7470d90c6bbd938fdac44"/>
      <w:r>
        <w:rPr>
          <w:rFonts w:ascii="Old Standard TT" w:hAnsi="Old Standard TT"/>
          <w:b/>
          <w:sz w:val="26"/>
        </w:rPr>
        <w:t xml:space="preserve">I.1 Target agent (Qwen3-32B and gpt-oss-20b)</w:t>
      </w:r>
      <w:bookmarkEnd w:id="168"/>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d7ac7fb6a629ef29d896d387aeb1cbdff09ae31"/>
      <w:r>
        <w:rPr>
          <w:rFonts w:ascii="Old Standard TT" w:hAnsi="Old Standard TT"/>
          <w:b/>
          <w:sz w:val="26"/>
        </w:rPr>
        <w:t xml:space="preserve">I.2 Peer agent, Qwen3-32B episodes (DeepSeek-V4-Flash)</w:t>
      </w:r>
      <w:bookmarkEnd w:id="169"/>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20ca0bd4e22b8907b745ffe52788f85136b39d1"/>
      <w:r>
        <w:rPr>
          <w:rFonts w:ascii="Old Standard TT" w:hAnsi="Old Standard TT"/>
          <w:b/>
          <w:sz w:val="26"/>
        </w:rPr>
        <w:t xml:space="preserve">I.3 Peer agent, gpt-oss-20b episodes (DeepSeek-V4-Pro)</w:t>
      </w:r>
      <w:bookmarkEnd w:id="170"/>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f002de876b18b98d7718a6bd3deb30b9403007e"/>
      <w:r>
        <w:rPr>
          <w:rFonts w:ascii="Old Standard TT" w:hAnsi="Old Standard TT"/>
          <w:b/>
          <w:sz w:val="26"/>
        </w:rPr>
        <w:t xml:space="preserve">I.4 Text monitors</w:t>
      </w:r>
      <w:bookmarkEnd w:id="171"/>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9c1464226db10cf5b2f811ceea16efe8dd113a9"/>
      <w:r>
        <w:rPr>
          <w:rFonts w:ascii="Old Standard TT" w:hAnsi="Old Standard TT"/>
          <w:b/>
          <w:sz w:val="26"/>
        </w:rPr>
        <w:t xml:space="preserve">J. A Scaled Follow-Up Study: Design and Decision Criteria</w:t>
      </w:r>
      <w:bookmarkEnd w:id="172"/>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leave the causal interpretation unresolved.</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go beyond the shared template, with more varied and more realistic scenarios covering more situations (different tasks, tools and kinds of protected value), four or more target models, and multi-agent settings with several peers, shared boards or memory,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As a rough illustrative estimate, a locked test with about 330 near-term positives would narrow them to about ±0.04, which may help separate detectors that differ by about 0.05.</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527a2614b0d9aee1dd56ba38d518b45bdf577b0"/>
      <w:r>
        <w:rPr>
          <w:rFonts w:ascii="Old Standard TT" w:hAnsi="Old Standard TT"/>
          <w:b/>
          <w:sz w:val="26"/>
        </w:rPr>
        <w:t xml:space="preserve">K. Related Work in Full</w:t>
      </w:r>
      <w:bookmarkEnd w:id="173"/>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forecast unauthorized actions in a task-authorization conflict, with authorized look-alike actions as negatives, text monitors given the same information, frozen tests, interventions and an analysis of how far ahead prediction works; their decision-point AUROC against all negatives is highest after reasoning, and text monitors match or beat internal states against authorized look-alikes and against all their negatives, though not in every condition.</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branch agents from identical prompt-injection exposure states, so that the same state can comply or resist, and find early probes do not reliably beat text baselines.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Fonts w:ascii="XCharter" w:hAnsi="XCharter" w:cs="XCharter" w:eastAsia="XCharter"/>
          <w:sz w:val="22"/>
        </w:rPr>
        <w:t xml:space="preserve">Jia et al. (</w:t>
      </w:r>
      <w:hyperlink w:anchor="_47a14f87b50f826fa97c5a2719a69f05762d3bd">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already forecast unauthorized or injected actions from internal states and text before they occur; we ask it of an agent pressed by a peer, with probes and text monitors scored on the same calls and the same question asked at different distances from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4eebb92370222c9c8f01ec8125bb39dc064483d"/>
      <w:r>
        <w:rPr>
          <w:rFonts w:ascii="Old Standard TT" w:hAnsi="Old Standard TT"/>
          <w:b/>
          <w:sz w:val="26"/>
        </w:rPr>
        <w:t xml:space="preserve">L. Per-call and Streaming Probes</w:t>
      </w:r>
      <w:bookmarkEnd w:id="174"/>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5" w:name="_0fdfa08c8aa9ffbf1d598022d2903121bf1f3a9"/>
      <w:r>
        <w:rPr>
          <w:rFonts w:ascii="Old Standard TT" w:hAnsi="Old Standard TT"/>
          <w:b/>
          <w:sz w:val="26"/>
        </w:rPr>
        <w:t xml:space="preserve">L.1 The gpt-oss-20b reasoning probe: design and development results</w:t>
      </w:r>
      <w:bookmarkEnd w:id="175"/>
    </w:p>
    <w:p>
      <w:pPr>
        <w:pStyle w:val="FirstParagraph"/>
        <w:widowControl/>
        <w:spacing w:after="0" w:line="259" w:lineRule="auto"/>
        <w:ind w:firstLine="0"/>
        <w:jc w:val="both"/>
      </w:pPr>
      <w:r>
        <w:rPr>
          <w:rFonts w:ascii="XCharter" w:hAnsi="XCharter" w:cs="XCharter" w:eastAsia="XCharter"/>
          <w:sz w:val="22"/>
        </w:rPr>
        <w:t xml:space="preserve">This section gives the development results for the streaming reasoning probe of</w:t>
      </w:r>
      <w:r>
        <w:rPr>
          <w:rFonts w:ascii="XCharter" w:hAnsi="XCharter" w:cs="XCharter" w:eastAsia="XCharter"/>
          <w:sz w:val="22"/>
        </w:rPr>
        <w:t xml:space="preserve">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They are labelled exploratory because the probe was designed after the round-level results; the confirmed number is the frozen test on 84 new episodes (L.5).</w:t>
      </w:r>
    </w:p>
    <w:p>
      <w:pPr>
        <w:pStyle w:val="BodyText"/>
        <w:widowControl/>
        <w:spacing w:after="0" w:line="259" w:lineRule="auto"/>
        <w:ind w:firstLine="36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6"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6"/>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What the probe reads within the call is not established (L.4);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7" w:name="_7a58329c2353e56a5bd1d72f28e42872a37757f"/>
      <w:r>
        <w:rPr>
          <w:rFonts w:ascii="Old Standard TT" w:hAnsi="Old Standard TT"/>
          <w:b/>
          <w:sz w:val="26"/>
        </w:rPr>
        <w:t xml:space="preserve">L.2 Expanded capture: incoming messages and action-time tokens</w:t>
      </w:r>
      <w:bookmarkEnd w:id="177"/>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8"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a84b69b1f04b116b25a2e9fee2854a691cd8854"/>
      <w:r>
        <w:rPr>
          <w:rFonts w:ascii="Old Standard TT" w:hAnsi="Old Standard TT"/>
          <w:b/>
          <w:sz w:val="26"/>
        </w:rPr>
        <w:t xml:space="preserve">L.3 Per-call last-prompt probes on both models (post hoc)</w:t>
      </w:r>
      <w:bookmarkEnd w:id="179"/>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The Qwen3-32B per-call cohort is the 4,697 round-level calls, plus the 101 first qualifying disclosures, plus 46 calls recovered by corrected cutoffs (40 negatives; 6 dispatch-scenario positives before its actual public disclosure) = 4,844; eventual positives 998 + 101 + 6 = 1,105, near-term 250 − 1 + 101 + 2 = 352. The gpt-oss-20b cohort is 2,059 + 146 first public emissions = 2,205, minus 210 calls with empty reasoning = 1,995 (121 positives) (</w:t>
      </w:r>
      <w:r>
        <w:rPr>
          <w:rStyle w:val="VerbatimChar"/>
          <w:rFonts w:ascii="XCharter" w:hAnsi="XCharter" w:cs="XCharter" w:eastAsia="XCharter"/>
          <w:sz w:val="22"/>
        </w:rPr>
        <w:t xml:space="preserve">runs/20261026-1626-cohort-transition</w:t>
      </w:r>
      <w:r>
        <w:rPr>
          <w:rFonts w:ascii="XCharter" w:hAnsi="XCharter" w:cs="XCharter" w:eastAsia="XCharter"/>
          <w:sz w:val="22"/>
        </w:rPr>
        <w:t xml:space="preserve">).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of these, only the near-term result (0.579) was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80" w:name="_8ce8413e36bee0c123bcc62a0f71b4050680895"/>
      <w:r>
        <w:rPr>
          <w:rFonts w:ascii="Old Standard TT" w:hAnsi="Old Standard TT"/>
          <w:b/>
          <w:sz w:val="26"/>
        </w:rPr>
        <w:t xml:space="preserve">L.4 Checks on the per-call signal</w:t>
      </w:r>
      <w:bookmarkEnd w:id="180"/>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2" name="Picture"/>
            <a:graphic>
              <a:graphicData uri="http://schemas.openxmlformats.org/drawingml/2006/picture">
                <pic:pic>
                  <pic:nvPicPr>
                    <pic:cNvPr descr="figures/figure3b_appendix_checks.png" id="183" name="Picture"/>
                    <pic:cNvPicPr>
                      <a:picLocks noChangeArrowheads="1" noChangeAspect="1"/>
                    </pic:cNvPicPr>
                  </pic:nvPicPr>
                  <pic:blipFill>
                    <a:blip r:embed="rId181"/>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4"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4"/>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of the 101 scored per-call give-ins, those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c8f297a0d9ce8278545a005f22685cbf9f1c60b"/>
      <w:r>
        <w:rPr>
          <w:rFonts w:ascii="Old Standard TT" w:hAnsi="Old Standard TT"/>
          <w:b/>
          <w:sz w:val="26"/>
        </w:rPr>
        <w:t xml:space="preserve">L.5 Frozen confirmation on new gpt-oss-20b episodes</w:t>
      </w:r>
      <w:bookmarkEnd w:id="185"/>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6" w:name="_9b13fd5fc1ec2693fdfc2d237378b7ba584bceb"/>
      <w:r>
        <w:rPr>
          <w:rFonts w:ascii="Old Standard TT" w:hAnsi="Old Standard TT"/>
          <w:b/>
          <w:sz w:val="26"/>
        </w:rPr>
        <w:t xml:space="preserve">L.6 Figure 2, full caption</w:t>
      </w:r>
      <w:bookmarkEnd w:id="186"/>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 decision-model monitor (Jev)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7" w:name="_cb9581af10cbdf668d14e9255457c76a376db3f"/>
      <w:r>
        <w:rPr>
          <w:rFonts w:ascii="Old Standard TT" w:hAnsi="Old Standard TT"/>
          <w:b/>
          <w:sz w:val="28"/>
        </w:rPr>
        <w:t xml:space="preserve">LLM Usage Statement</w:t>
      </w:r>
      <w:bookmarkEnd w:id="187"/>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8">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89">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footerReference w:type="default" r:id="rId9"/>
      <w:pgSz w:h="15840" w:w="12240" w:orient="portrait"/>
      <w:pgMar w:bottom="1296" w:top="1296" w:left="1296" w:right="1296" w:header="720" w:footer="576"/>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ind w:firstLine="0" w:left="0" w:right="0"/>
      <w:jc w:val="center"/>
    </w:pPr>
    <w:fldSimple w:instr="PAGE">
      <w:r>
        <w:rPr>
          <w:rFonts w:ascii="XCharter" w:hAnsi="XCharter"/>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1" Type="http://schemas.openxmlformats.org/officeDocument/2006/relationships/image" Target="media/rId181.png"/><Relationship Id="rId150" Type="http://schemas.openxmlformats.org/officeDocument/2006/relationships/image" Target="media/rId150.png"/><Relationship Id="rId141" Type="http://schemas.openxmlformats.org/officeDocument/2006/relationships/image" Target="media/rId141.png"/><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7" Type="http://schemas.openxmlformats.org/officeDocument/2006/relationships/hyperlink" Target="https://arxiv.org/abs/2410.00031" TargetMode="External"/><Relationship Id="rId81" Type="http://schemas.openxmlformats.org/officeDocument/2006/relationships/hyperlink" Target="https://arxiv.org/abs/2411.03343" TargetMode="External"/><Relationship Id="rId119"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31" Type="http://schemas.openxmlformats.org/officeDocument/2006/relationships/hyperlink" Target="https://arxiv.org/abs/2505.09388" TargetMode="External"/><Relationship Id="rId93"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9"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5"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5" Type="http://schemas.openxmlformats.org/officeDocument/2006/relationships/hyperlink" Target="https://arxiv.org/abs/2602.15198" TargetMode="External"/><Relationship Id="rId127" Type="http://schemas.openxmlformats.org/officeDocument/2006/relationships/hyperlink" Target="https://arxiv.org/abs/2603.13940" TargetMode="External"/><Relationship Id="rId113" Type="http://schemas.openxmlformats.org/officeDocument/2006/relationships/hyperlink" Target="https://arxiv.org/abs/2604.01151" TargetMode="External"/><Relationship Id="rId129" Type="http://schemas.openxmlformats.org/officeDocument/2006/relationships/hyperlink" Target="https://arxiv.org/abs/2604.16824" TargetMode="External"/><Relationship Id="rId135" Type="http://schemas.openxmlformats.org/officeDocument/2006/relationships/hyperlink" Target="https://arxiv.org/abs/2605.27593" TargetMode="External"/><Relationship Id="rId111" Type="http://schemas.openxmlformats.org/officeDocument/2006/relationships/hyperlink" Target="https://arxiv.org/abs/2605.29178" TargetMode="External"/><Relationship Id="rId83"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21" Type="http://schemas.openxmlformats.org/officeDocument/2006/relationships/hyperlink" Target="https://arxiv.org/abs/2607.05132" TargetMode="External"/><Relationship Id="rId115"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5" Type="http://schemas.openxmlformats.org/officeDocument/2006/relationships/hyperlink" Target="https://arxiv.org/abs/2609.09090" TargetMode="External"/><Relationship Id="rId123" Type="http://schemas.openxmlformats.org/officeDocument/2006/relationships/hyperlink" Target="https://arxiv.org/abs/2609.24967" TargetMode="External"/><Relationship Id="rId107"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3"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79" Type="http://schemas.openxmlformats.org/officeDocument/2006/relationships/hyperlink" Target="https://arxiv.org/abs/2610.24048"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88" Type="http://schemas.openxmlformats.org/officeDocument/2006/relationships/hyperlink" Target="https://github.com/leonidas1712/aboard" TargetMode="External"/><Relationship Id="rId189" Type="http://schemas.openxmlformats.org/officeDocument/2006/relationships/hyperlink" Target="https://github.com/leonidas1712/leaf" TargetMode="External"/><Relationship Id="rId117" Type="http://schemas.openxmlformats.org/officeDocument/2006/relationships/hyperlink" Target="https://github.com/soham-padia/pre-sycophancy-study" TargetMode="External"/><Relationship Id="rId109" Type="http://schemas.openxmlformats.org/officeDocument/2006/relationships/hyperlink" Target="https://huggingface.co/Qwen/Qwen3-32B" TargetMode="External"/><Relationship Id="rId101" Type="http://schemas.openxmlformats.org/officeDocument/2006/relationships/hyperlink" Target="https://huggingface.co/openai/gpt-oss-20b" TargetMode="External"/><Relationship Id="rId105"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3" Type="http://schemas.openxmlformats.org/officeDocument/2006/relationships/hyperlink" Target="https://openrouter.ai/openai/gpt-6-luna-decisions" TargetMode="External"/><Relationship Id="rId97"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91"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9" Type="http://schemas.openxmlformats.org/officeDocument/2006/relationships/hyperlink" Target="https://www.usenix.org/conference/usenixsecurity24/presentation/liu-yupei" TargetMode="Externa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7" Type="http://schemas.openxmlformats.org/officeDocument/2006/relationships/hyperlink" Target="https://arxiv.org/abs/2410.00031" TargetMode="External"/><Relationship Id="rId81" Type="http://schemas.openxmlformats.org/officeDocument/2006/relationships/hyperlink" Target="https://arxiv.org/abs/2411.03343" TargetMode="External"/><Relationship Id="rId119"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31" Type="http://schemas.openxmlformats.org/officeDocument/2006/relationships/hyperlink" Target="https://arxiv.org/abs/2505.09388" TargetMode="External"/><Relationship Id="rId93"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9"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5"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5" Type="http://schemas.openxmlformats.org/officeDocument/2006/relationships/hyperlink" Target="https://arxiv.org/abs/2602.15198" TargetMode="External"/><Relationship Id="rId127" Type="http://schemas.openxmlformats.org/officeDocument/2006/relationships/hyperlink" Target="https://arxiv.org/abs/2603.13940" TargetMode="External"/><Relationship Id="rId113" Type="http://schemas.openxmlformats.org/officeDocument/2006/relationships/hyperlink" Target="https://arxiv.org/abs/2604.01151" TargetMode="External"/><Relationship Id="rId129" Type="http://schemas.openxmlformats.org/officeDocument/2006/relationships/hyperlink" Target="https://arxiv.org/abs/2604.16824" TargetMode="External"/><Relationship Id="rId135" Type="http://schemas.openxmlformats.org/officeDocument/2006/relationships/hyperlink" Target="https://arxiv.org/abs/2605.27593" TargetMode="External"/><Relationship Id="rId111" Type="http://schemas.openxmlformats.org/officeDocument/2006/relationships/hyperlink" Target="https://arxiv.org/abs/2605.29178" TargetMode="External"/><Relationship Id="rId83"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21" Type="http://schemas.openxmlformats.org/officeDocument/2006/relationships/hyperlink" Target="https://arxiv.org/abs/2607.05132" TargetMode="External"/><Relationship Id="rId115"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5" Type="http://schemas.openxmlformats.org/officeDocument/2006/relationships/hyperlink" Target="https://arxiv.org/abs/2609.09090" TargetMode="External"/><Relationship Id="rId123" Type="http://schemas.openxmlformats.org/officeDocument/2006/relationships/hyperlink" Target="https://arxiv.org/abs/2609.24967" TargetMode="External"/><Relationship Id="rId107"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3"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79" Type="http://schemas.openxmlformats.org/officeDocument/2006/relationships/hyperlink" Target="https://arxiv.org/abs/2610.24048"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88" Type="http://schemas.openxmlformats.org/officeDocument/2006/relationships/hyperlink" Target="https://github.com/leonidas1712/aboard" TargetMode="External"/><Relationship Id="rId189" Type="http://schemas.openxmlformats.org/officeDocument/2006/relationships/hyperlink" Target="https://github.com/leonidas1712/leaf" TargetMode="External"/><Relationship Id="rId117" Type="http://schemas.openxmlformats.org/officeDocument/2006/relationships/hyperlink" Target="https://github.com/soham-padia/pre-sycophancy-study" TargetMode="External"/><Relationship Id="rId109" Type="http://schemas.openxmlformats.org/officeDocument/2006/relationships/hyperlink" Target="https://huggingface.co/Qwen/Qwen3-32B" TargetMode="External"/><Relationship Id="rId101" Type="http://schemas.openxmlformats.org/officeDocument/2006/relationships/hyperlink" Target="https://huggingface.co/openai/gpt-oss-20b" TargetMode="External"/><Relationship Id="rId105"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3" Type="http://schemas.openxmlformats.org/officeDocument/2006/relationships/hyperlink" Target="https://openrouter.ai/openai/gpt-6-luna-decisions" TargetMode="External"/><Relationship Id="rId97"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91"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9"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Collusion? Predicting When an Agent Gives In to a Recruiting Peer, with Activation Probes and Text Monitors</dc:title>
  <dc:creator>Leonidas Raghav</dc:creator>
  <cp:keywords/>
  <dcterms:created xsi:type="dcterms:W3CDTF">2026-10-26T11:18:55Z</dcterms:created>
  <dcterms:modified xsi:type="dcterms:W3CDTF">2026-10-26T11:18:55Z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