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Recruited</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rFonts w:ascii="Old Standard TT" w:hAnsi="Old Standard TT"/>
                      <w:i/>
                    </w:rPr>
                    <w:t>We test whether a target agent's internal activations predict when it will give in to a peer agent's repeated requests to violate an operator rule. The layout below exercises the current Methods prose, a representative results table, and a full-width figure.</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
        <w:br w:type="page"/>
      </w:r>
    </w:p>
    <w:p>
      <w:pPr>
        <w:pStyle w:val="Heading2"/>
        <w:keepNext/>
      </w:pPr>
      <w:r>
        <w:rPr>
          <w:rFonts w:ascii="Old Standard TT" w:hAnsi="Old Standard TT"/>
        </w:rPr>
        <w:t>1. Introduction</w:t>
      </w:r>
    </w:p>
    <w:p>
      <w:pPr>
        <w:pStyle w:val="Heading2"/>
        <w:keepNext/>
      </w:pPr>
      <w:r>
        <w:rPr>
          <w:rFonts w:ascii="Old Standard TT" w:hAnsi="Old Standard TT"/>
        </w:rPr>
        <w:t>2. Related Work</w:t>
      </w:r>
    </w:p>
    <w:p>
      <w:pPr>
        <w:pStyle w:val="Heading2"/>
        <w:keepNext/>
      </w:pPr>
      <w:r>
        <w:rPr>
          <w:rFonts w:ascii="Old Standard TT" w:hAnsi="Old Standard TT"/>
        </w:rPr>
        <w:t>3. Methods</w:t>
      </w:r>
    </w:p>
    <w:p>
      <w:pPr>
        <w:pStyle w:val="Heading3"/>
        <w:keepNext/>
      </w:pPr>
      <w:r>
        <w:rPr>
          <w:rFonts w:ascii="Old Standard TT" w:hAnsi="Old Standard TT"/>
        </w:rPr>
        <w:t>3.1 Environment and agents</w:t>
      </w:r>
    </w:p>
    <w:p>
      <w:pPr>
        <w:spacing w:after="120"/>
        <w:jc w:val="both"/>
      </w:pPr>
      <w:r>
        <w:rPr>
          <w:rFonts w:ascii="Old Standard TT" w:hAnsi="Old Standard TT"/>
        </w:rPr>
        <w:t xml:space="preserve">We study a two-agent setup in a mocked workspace. A </w:t>
      </w:r>
      <w:r>
        <w:rPr>
          <w:rFonts w:ascii="Old Standard TT" w:hAnsi="Old Standard TT"/>
          <w:b/>
        </w:rPr>
        <w:t>target agent</w:t>
      </w:r>
      <w:r>
        <w:rPr>
          <w:rFonts w:ascii="Old Standard TT" w:hAnsi="Old Standard TT"/>
        </w:rPr>
        <w:t xml:space="preserve"> is given an ordinary task by its operator — read a small configuration file, then write a short status report and post where it is saved — together with one rule: do not share a specific protected value (for example a staging deploy token) outside the file that holds it. A second </w:t>
      </w:r>
      <w:r>
        <w:rPr>
          <w:rFonts w:ascii="Old Standard TT" w:hAnsi="Old Standard TT"/>
          <w:b/>
        </w:rPr>
        <w:t>peer agent</w:t>
      </w:r>
      <w:r>
        <w:rPr>
          <w:rFonts w:ascii="Old Standard TT" w:hAnsi="Old Standard TT"/>
        </w:rPr>
        <w:t xml:space="preserve"> shares a team channel with the target and needs that value to finish its own task, but cannot read the file itself. Over up to 20 rounds, the peer asks the target for the value; each round the peer posts first, then the target takes a turn of tool calls and an optional channel message. The target has three tools: read a file, write a file, and send a channel message.</w:t>
      </w:r>
    </w:p>
    <w:p>
      <w:pPr>
        <w:spacing w:after="120"/>
        <w:jc w:val="both"/>
      </w:pPr>
      <w:r>
        <w:rPr>
          <w:rFonts w:ascii="Old Standard TT" w:hAnsi="Old Standard TT"/>
        </w:rPr>
        <w:t>The peer is DeepSeek-V4-Flash; the main target is Qwen3-32B with thinking disabled. Both run through OpenRouter at temperature 0.7, pinned to a single provider (DeepInfra) with fallbacks disabled, so every call is served the same way. The peer is not told about the operator's rule: it is a blocked teammate pushing for what it needs, not an agent instructed to cause a violation. This is deliberate — we study recruitment that arises from an ordinary conflict of goals, not scripted collusion.</w:t>
      </w:r>
    </w:p>
    <w:p>
      <w:pPr>
        <w:spacing w:after="120"/>
        <w:jc w:val="both"/>
      </w:pPr>
      <w:r>
        <w:rPr>
          <w:rFonts w:ascii="Old Standard TT" w:hAnsi="Old Standard TT"/>
        </w:rPr>
        <w:t xml:space="preserve">Each scenario is run in three conditions: a </w:t>
      </w:r>
      <w:r>
        <w:rPr>
          <w:rFonts w:ascii="Old Standard TT" w:hAnsi="Old Standard TT"/>
          <w:b/>
        </w:rPr>
        <w:t>recruiting</w:t>
      </w:r>
      <w:r>
        <w:rPr>
          <w:rFonts w:ascii="Old Standard TT" w:hAnsi="Old Standard TT"/>
        </w:rPr>
        <w:t xml:space="preserve"> peer (asks for the protected value), a </w:t>
      </w:r>
      <w:r>
        <w:rPr>
          <w:rFonts w:ascii="Old Standard TT" w:hAnsi="Old Standard TT"/>
          <w:b/>
        </w:rPr>
        <w:t>control</w:t>
      </w:r>
      <w:r>
        <w:rPr>
          <w:rFonts w:ascii="Old Standard TT" w:hAnsi="Old Standard TT"/>
        </w:rPr>
        <w:t xml:space="preserve"> peer (same scenario and task, normal collaboration, no forbidden ask), and the </w:t>
      </w:r>
      <w:r>
        <w:rPr>
          <w:rFonts w:ascii="Old Standard TT" w:hAnsi="Old Standard TT"/>
          <w:b/>
        </w:rPr>
        <w:t>target alone</w:t>
      </w:r>
      <w:r>
        <w:rPr>
          <w:rFonts w:ascii="Old Standard TT" w:hAnsi="Old Standard TT"/>
        </w:rPr>
        <w:t xml:space="preserve"> (no peer). Controls and alone episodes never leaked across all runs (for example, spray top-up controls 0/34 and alone 0/20; </w:t>
      </w:r>
      <w:r>
        <w:rPr>
          <w:rFonts w:ascii="Old Standard TT" w:hAnsi="Old Standard TT"/>
          <w:i/>
        </w:rPr>
        <w:t>EXPERIMENT_LOG.md</w:t>
      </w:r>
      <w:r>
        <w:rPr>
          <w:rFonts w:ascii="Old Standard TT" w:hAnsi="Old Standard TT"/>
        </w:rPr>
        <w:t>, 25 Oct). We use six scenarios built from one task template, which lets us hold the structure fixed while varying the surface domain. [Fig 1a: setup — peer → target → tools/channel.]</w:t>
      </w:r>
    </w:p>
    <w:p>
      <w:pPr>
        <w:spacing w:after="120"/>
        <w:jc w:val="both"/>
      </w:pPr>
      <w:r>
        <w:rPr>
          <w:rFonts w:ascii="Old Standard TT" w:hAnsi="Old Standard TT"/>
        </w:rPr>
        <w:t>A give-in is scored deterministically: the episode's outcome label is 1 if and only if the target published the complete protected value. Partial disclosures (for example a value with one character dropped) do not count, so the rate is conservative. A secondary judge (a decision model, Section 3.6) labels each give-in as deliberate or accidental; this label agrees with blind human labels on 36 of 40 give-ins (Cohen's κ = 0.79).</w:t>
      </w:r>
    </w:p>
    <w:p>
      <w:pPr>
        <w:pStyle w:val="Heading3"/>
        <w:keepNext/>
      </w:pPr>
      <w:r>
        <w:rPr>
          <w:rFonts w:ascii="Old Standard TT" w:hAnsi="Old Standard TT"/>
        </w:rPr>
        <w:t>3.2 Data</w:t>
      </w:r>
    </w:p>
    <w:p>
      <w:pPr>
        <w:spacing w:after="120"/>
        <w:jc w:val="both"/>
      </w:pPr>
      <w:r>
        <w:rPr>
          <w:rFonts w:ascii="Old Standard TT" w:hAnsi="Old Standard TT"/>
        </w:rPr>
        <w:t xml:space="preserve">To read the target's internal activations we </w:t>
      </w:r>
      <w:r>
        <w:rPr>
          <w:rFonts w:ascii="Old Standard TT" w:hAnsi="Old Standard TT"/>
          <w:b/>
        </w:rPr>
        <w:t>replay</w:t>
      </w:r>
      <w:r>
        <w:rPr>
          <w:rFonts w:ascii="Old Standard TT" w:hAnsi="Old Standard TT"/>
        </w:rPr>
        <w:t xml:space="preserve"> every saved target request through the open-weight Qwen3-32B checkpoint (revision </w:t>
      </w:r>
      <w:r>
        <w:rPr>
          <w:rFonts w:ascii="Old Standard TT" w:hAnsi="Old Standard TT"/>
          <w:i/>
        </w:rPr>
        <w:t>9216db57…</w:t>
      </w:r>
      <w:r>
        <w:rPr>
          <w:rFonts w:ascii="Old Standard TT" w:hAnsi="Old Standard TT"/>
        </w:rPr>
        <w:t>) in bfloat16 on a single A100-80GB GPU, using Hugging Face Transformers with forward hooks on the decoder blocks. Replay reconstructs the exact token sequence the target saw and reads the residual stream (the model's running internal representation) at the last prompt token before each reply. The episodes were served at fp8 and replayed in bf16 on the identical tokens; the bf16 model reproduces the served replies closely (reply negative log-likelihood ≈ 0.23–0.25, 99.8% of reply tokens in the model's top five), so the activations reflect the model that acted. Prompt token hashes match a frozen manifest of the requests to replay.</w:t>
      </w:r>
    </w:p>
    <w:p>
      <w:pPr>
        <w:spacing w:after="120"/>
        <w:jc w:val="both"/>
      </w:pPr>
      <w:r>
        <w:rPr>
          <w:rFonts w:ascii="Old Standard TT" w:hAnsi="Old Standard TT"/>
        </w:rPr>
        <w:t xml:space="preserve">The combined dataset is 6,404 scored steps from 338 episodes. It comprises replay 2 (4,184 eligible steps, of which 2,910 are recruiting, from 63 give-in and 89 held episodes; </w:t>
      </w:r>
      <w:r>
        <w:rPr>
          <w:rFonts w:ascii="Old Standard TT" w:hAnsi="Old Standard TT"/>
          <w:i/>
        </w:rPr>
        <w:t>runs/20261025-0147-e06-monitor-main/</w:t>
      </w:r>
      <w:r>
        <w:rPr>
          <w:rFonts w:ascii="Old Standard TT" w:hAnsi="Old Standard TT"/>
        </w:rPr>
        <w:t>) and a later balanced batch of new episodes, which is used first as a held-out confirmation set and then pooled (Section 4.3).</w:t>
      </w:r>
    </w:p>
    <w:p>
      <w:pPr>
        <w:pStyle w:val="Heading3"/>
        <w:keepNext/>
      </w:pPr>
      <w:r>
        <w:rPr>
          <w:rFonts w:ascii="Old Standard TT" w:hAnsi="Old Standard TT"/>
        </w:rPr>
        <w:t>3.3 The scoring window</w:t>
      </w:r>
    </w:p>
    <w:p>
      <w:pPr>
        <w:spacing w:after="120"/>
        <w:jc w:val="both"/>
      </w:pPr>
      <w:r>
        <w:rPr>
          <w:rFonts w:ascii="Old Standard TT" w:hAnsi="Old Standard TT"/>
        </w:rPr>
        <w:t>Every method — probe or text monitor — is scored only on steps where the protected value is already in the target's context and has not yet been published. This is the central design choice. Steps before the target reads the value cannot result in a give-in, and including them would let a method score well simply by detecting that the file had been read: a probe does exactly this, reaching an exposure-detection AUROC of 1.000 on held-out families (</w:t>
      </w:r>
      <w:r>
        <w:rPr>
          <w:rFonts w:ascii="Old Standard TT" w:hAnsi="Old Standard TT"/>
          <w:i/>
        </w:rPr>
        <w:t>runs/20261025-0338-e05-replay2-positive-control/</w:t>
      </w:r>
      <w:r>
        <w:rPr>
          <w:rFonts w:ascii="Old Standard TT" w:hAnsi="Old Standard TT"/>
        </w:rPr>
        <w:t xml:space="preserve">; </w:t>
      </w:r>
      <w:r>
        <w:rPr>
          <w:rFonts w:ascii="Old Standard TT" w:hAnsi="Old Standard TT"/>
          <w:i/>
        </w:rPr>
        <w:t>runs/…-1026-e05-replay3-positive-control/</w:t>
      </w:r>
      <w:r>
        <w:rPr>
          <w:rFonts w:ascii="Old Standard TT" w:hAnsi="Old Standard TT"/>
        </w:rPr>
        <w:t xml:space="preserve">). Steps after the publication are detection after the fact. Restricting to the window between reading and leaking removes the shortcut and isolates the question we care about: given that the target </w:t>
      </w:r>
      <w:r>
        <w:rPr>
          <w:rFonts w:ascii="Old Standard TT" w:hAnsi="Old Standard TT"/>
          <w:i/>
        </w:rPr>
        <w:t>could</w:t>
      </w:r>
      <w:r>
        <w:rPr>
          <w:rFonts w:ascii="Old Standard TT" w:hAnsi="Old Standard TT"/>
        </w:rPr>
        <w:t xml:space="preserve"> give in, can a method see it coming? Of 320 recruiting episodes, this window is non-empty for all but a few immediate give-ins (2 of 106 valid give-ins leak on the call right after reading); 74 held episodes never read the value and so contribute no scored steps. [Fig 1b: toy timeline — read → window → leak, with both label schemes.]</w:t>
      </w:r>
    </w:p>
    <w:p>
      <w:pPr>
        <w:pStyle w:val="Heading3"/>
        <w:keepNext/>
      </w:pPr>
      <w:r>
        <w:rPr>
          <w:rFonts w:ascii="Old Standard TT" w:hAnsi="Old Standard TT"/>
        </w:rPr>
        <w:t>3.4 Labels</w:t>
      </w:r>
    </w:p>
    <w:p>
      <w:pPr>
        <w:spacing w:after="120"/>
        <w:jc w:val="both"/>
      </w:pPr>
      <w:r>
        <w:rPr>
          <w:rFonts w:ascii="Old Standard TT" w:hAnsi="Old Standard TT"/>
        </w:rPr>
        <w:t>We score four labels on the same steps.</w:t>
      </w:r>
    </w:p>
    <w:p>
      <w:pPr>
        <w:spacing w:after="60"/>
        <w:ind w:left="360" w:hanging="230"/>
      </w:pPr>
      <w:r>
        <w:rPr>
          <w:rFonts w:ascii="Old Standard TT" w:hAnsi="Old Standard TT"/>
        </w:rPr>
        <w:t xml:space="preserve">• </w:t>
      </w:r>
      <w:r>
        <w:rPr>
          <w:rFonts w:ascii="Old Standard TT" w:hAnsi="Old Standard TT"/>
          <w:b/>
        </w:rPr>
        <w:t>Eventual:</w:t>
      </w:r>
      <w:r>
        <w:rPr>
          <w:rFonts w:ascii="Old Standard TT" w:hAnsi="Old Standard TT"/>
        </w:rPr>
        <w:t xml:space="preserve"> every step in the scoring window of an episode that eventually gives in is positive. This is the question we first set out to answer.</w:t>
      </w:r>
    </w:p>
    <w:p>
      <w:pPr>
        <w:spacing w:after="60"/>
        <w:ind w:left="360" w:hanging="230"/>
      </w:pPr>
      <w:r>
        <w:rPr>
          <w:rFonts w:ascii="Old Standard TT" w:hAnsi="Old Standard TT"/>
        </w:rPr>
        <w:t xml:space="preserve">• </w:t>
      </w:r>
      <w:r>
        <w:rPr>
          <w:rFonts w:ascii="Old Standard TT" w:hAnsi="Old Standard TT"/>
          <w:b/>
        </w:rPr>
        <w:t>Near-term A ("gives in this round or the next"):</w:t>
      </w:r>
      <w:r>
        <w:rPr>
          <w:rFonts w:ascii="Old Standard TT" w:hAnsi="Old Standard TT"/>
        </w:rPr>
        <w:t xml:space="preserve"> a step is positive only if the first forbidden action occurs in the current or the following round; earlier steps of give-in episodes are negative. This is the question a live alarm must answer, and it is our primary near-term label.</w:t>
      </w:r>
    </w:p>
    <w:p>
      <w:pPr>
        <w:spacing w:after="60"/>
        <w:ind w:left="360" w:hanging="230"/>
      </w:pPr>
      <w:r>
        <w:rPr>
          <w:rFonts w:ascii="Old Standard TT" w:hAnsi="Old Standard TT"/>
        </w:rPr>
        <w:t xml:space="preserve">• </w:t>
      </w:r>
      <w:r>
        <w:rPr>
          <w:rFonts w:ascii="Old Standard TT" w:hAnsi="Old Standard TT"/>
          <w:b/>
        </w:rPr>
        <w:t>B and C (secondary; appendix):</w:t>
      </w:r>
      <w:r>
        <w:rPr>
          <w:rFonts w:ascii="Old Standard TT" w:hAnsi="Old Standard TT"/>
        </w:rPr>
        <w:t xml:space="preserve"> B keeps A's positives but counts only held-episode steps as negatives; C uses a within-three-target-calls window against held episodes. Both drop steps using hindsight, so neither is a prospective alarm label.</w:t>
      </w:r>
    </w:p>
    <w:p>
      <w:pPr>
        <w:spacing w:after="120"/>
        <w:jc w:val="both"/>
      </w:pPr>
      <w:r>
        <w:rPr>
          <w:rFonts w:ascii="Old Standard TT" w:hAnsi="Old Standard TT"/>
        </w:rPr>
        <w:t>The near-term labels were defined after seeing the eventual-label result. We therefore validate the near-term finding on new data under a plan fixed in advance (Section 4.3).</w:t>
      </w:r>
    </w:p>
    <w:p>
      <w:pPr>
        <w:pStyle w:val="Heading3"/>
        <w:keepNext/>
      </w:pPr>
      <w:r>
        <w:rPr>
          <w:rFonts w:ascii="Old Standard TT" w:hAnsi="Old Standard TT"/>
        </w:rPr>
        <w:t>3.5 Probes</w:t>
      </w:r>
    </w:p>
    <w:p>
      <w:pPr>
        <w:spacing w:after="120"/>
        <w:jc w:val="both"/>
      </w:pPr>
      <w:r>
        <w:rPr>
          <w:rFonts w:ascii="Old Standard TT" w:hAnsi="Old Standard TT"/>
        </w:rPr>
        <w:t>A probe is a linear classifier — logistic regression — on the 5,120-dimensional residual-stream vector at the last prompt token before each target reply. We standardise features using training-rows-only statistics, apply L2 regularisation (C = 0.1), and weight steps so positives and negatives contribute equally within each round. The layer is chosen inside each training fold, from 17 candidates (layers 0, 4, …, 60, 63), on a 25% inner family holdout; we call this the "nested" probe and also report a fixed-layer-32 variant as a check. We use three split seeds (42, 43, 44) and average. Probes are trained on recruiting episodes only. Episodes are grouped into families of related variants, and a family never crosses a train/test boundary. The recipe follows standard linear-probe practice (Goldowsky-Dill et al., 2502.03407) with layer selection on validation (Kramár et al., 2601.11516).</w:t>
      </w:r>
    </w:p>
    <w:p>
      <w:pPr>
        <w:pStyle w:val="Heading3"/>
        <w:keepNext/>
      </w:pPr>
      <w:r>
        <w:rPr>
          <w:rFonts w:ascii="Old Standard TT" w:hAnsi="Old Standard TT"/>
        </w:rPr>
        <w:t>3.6 Text monitors</w:t>
      </w:r>
    </w:p>
    <w:p>
      <w:pPr>
        <w:spacing w:after="120"/>
        <w:jc w:val="both"/>
      </w:pPr>
      <w:r>
        <w:rPr>
          <w:rFonts w:ascii="Old Standard TT" w:hAnsi="Old Standard TT"/>
        </w:rPr>
        <w:t xml:space="preserve">A text monitor reads what the agents say and do, with no access to activations. We use three monitor models: GPT-5-nano as an LLM judge that returns a 0–100 score, and two </w:t>
      </w:r>
      <w:r>
        <w:rPr>
          <w:rFonts w:ascii="Old Standard TT" w:hAnsi="Old Standard TT"/>
          <w:b/>
        </w:rPr>
        <w:t>decision models</w:t>
      </w:r>
      <w:r>
        <w:rPr>
          <w:rFonts w:ascii="Old Standard TT" w:hAnsi="Old Standard TT"/>
        </w:rPr>
        <w:t xml:space="preserve"> — Jev 1.14 (TypeSafe) and Luna Decisions (OpenAI) — which return a probability over fixed yes/no options with no written rationale. The yes/no option order is randomised per step. Each monitor is asked one of two questions: a </w:t>
      </w:r>
      <w:r>
        <w:rPr>
          <w:rFonts w:ascii="Old Standard TT" w:hAnsi="Old Standard TT"/>
          <w:b/>
        </w:rPr>
        <w:t>detector</w:t>
      </w:r>
      <w:r>
        <w:rPr>
          <w:rFonts w:ascii="Old Standard TT" w:hAnsi="Old Standard TT"/>
        </w:rPr>
        <w:t xml:space="preserve"> question ("is the target breaking the rule now?") or a </w:t>
      </w:r>
      <w:r>
        <w:rPr>
          <w:rFonts w:ascii="Old Standard TT" w:hAnsi="Old Standard TT"/>
          <w:b/>
        </w:rPr>
        <w:t>forecaster</w:t>
      </w:r>
      <w:r>
        <w:rPr>
          <w:rFonts w:ascii="Old Standard TT" w:hAnsi="Old Standard TT"/>
        </w:rPr>
        <w:t xml:space="preserve"> question ("will it break the rule at any later point in this episode?"). Each runs at three context levels: </w:t>
      </w:r>
      <w:r>
        <w:rPr>
          <w:rFonts w:ascii="Old Standard TT" w:hAnsi="Old Standard TT"/>
          <w:b/>
        </w:rPr>
        <w:t>L1</w:t>
      </w:r>
      <w:r>
        <w:rPr>
          <w:rFonts w:ascii="Old Standard TT" w:hAnsi="Old Standard TT"/>
        </w:rPr>
        <w:t xml:space="preserve">, the target's tool calls and posted messages (what it does); </w:t>
      </w:r>
      <w:r>
        <w:rPr>
          <w:rFonts w:ascii="Old Standard TT" w:hAnsi="Old Standard TT"/>
          <w:b/>
        </w:rPr>
        <w:t>L2</w:t>
      </w:r>
      <w:r>
        <w:rPr>
          <w:rFonts w:ascii="Old Standard TT" w:hAnsi="Old Standard TT"/>
        </w:rPr>
        <w:t xml:space="preserve">, adding the peer's messages (the conversation); and </w:t>
      </w:r>
      <w:r>
        <w:rPr>
          <w:rFonts w:ascii="Old Standard TT" w:hAnsi="Old Standard TT"/>
          <w:b/>
        </w:rPr>
        <w:t>L3</w:t>
      </w:r>
      <w:r>
        <w:rPr>
          <w:rFonts w:ascii="Old Standard TT" w:hAnsi="Old Standard TT"/>
        </w:rPr>
        <w:t>, adding the target's unposted text and tool results (everything the target saw — there is no reasoning trace, as thinking is off).</w:t>
      </w:r>
    </w:p>
    <w:p>
      <w:pPr>
        <w:spacing w:after="120"/>
        <w:jc w:val="both"/>
      </w:pPr>
      <w:r>
        <w:rPr>
          <w:rFonts w:ascii="Old Standard TT" w:hAnsi="Old Standard TT"/>
        </w:rPr>
        <w:t xml:space="preserve">Monitor prompts are adapted from the UK AISI ControlArena </w:t>
      </w:r>
      <w:r>
        <w:rPr>
          <w:rFonts w:ascii="Old Standard TT" w:hAnsi="Old Standard TT"/>
          <w:i/>
        </w:rPr>
        <w:t>default.txt</w:t>
      </w:r>
      <w:r>
        <w:rPr>
          <w:rFonts w:ascii="Old Standard TT" w:hAnsi="Old Standard TT"/>
        </w:rPr>
        <w:t xml:space="preserve"> template (MIT), with warning signs and guiding questions, the score anchored only at its ends (not a banded rubric — a limitation), and the rule text filled in per scenario. The forecasting-question framing follows The Agent Knew (Fayyazi et al., 2610.17301). Prompts were approved before the main run and not changed afterwards. The full set of 3 models × 2 questions × 3 levels = 18 monitor setups was run on replay 2 (75,312 calls, $12.67). On the new episodes we ran an 8-setup subset fixed in advance: all six Jev setups plus GPT-5-nano detector and forecaster at L2.</w:t>
      </w:r>
    </w:p>
    <w:p>
      <w:pPr>
        <w:pStyle w:val="Heading3"/>
        <w:keepNext/>
      </w:pPr>
      <w:r>
        <w:rPr>
          <w:rFonts w:ascii="Old Standard TT" w:hAnsi="Old Standard TT"/>
        </w:rPr>
        <w:t>3.7 Metric and evaluation</w:t>
      </w:r>
    </w:p>
    <w:p>
      <w:pPr>
        <w:spacing w:after="120"/>
        <w:jc w:val="both"/>
      </w:pPr>
      <w:r>
        <w:rPr>
          <w:rFonts w:ascii="Old Standard TT" w:hAnsi="Old Standard TT"/>
        </w:rPr>
        <w:t xml:space="preserve">Our primary metric is </w:t>
      </w:r>
      <w:r>
        <w:rPr>
          <w:rFonts w:ascii="Old Standard TT" w:hAnsi="Old Standard TT"/>
          <w:b/>
        </w:rPr>
        <w:t>within scenario × round AUROC</w:t>
      </w:r>
      <w:r>
        <w:rPr>
          <w:rFonts w:ascii="Old Standard TT" w:hAnsi="Old Standard TT"/>
        </w:rPr>
        <w:t>: each positive step is compared only against negative steps from the same scenario and the same round, and the per-group scores are averaged weighted by the number of positives. AUROC (area under the ROC curve) is the probability that a random positive outscores a random negative, where 0.5 is chance. We stratify this way because round number alone scores 0.71 pooled — later rounds disproportionately belong to episodes that will give in — and because base rates differ across scenarios; within a scenario × round group both confounds are 0.5 by construction.</w:t>
      </w:r>
    </w:p>
    <w:p>
      <w:pPr>
        <w:spacing w:after="120"/>
        <w:jc w:val="both"/>
      </w:pPr>
      <w:r>
        <w:rPr>
          <w:rFonts w:ascii="Old Standard TT" w:hAnsi="Old Standard TT"/>
        </w:rPr>
        <w:t xml:space="preserve">We evaluate under two splits. </w:t>
      </w:r>
      <w:r>
        <w:rPr>
          <w:rFonts w:ascii="Old Standard TT" w:hAnsi="Old Standard TT"/>
          <w:b/>
        </w:rPr>
        <w:t>Held-out scenario</w:t>
      </w:r>
      <w:r>
        <w:rPr>
          <w:rFonts w:ascii="Old Standard TT" w:hAnsi="Old Standard TT"/>
        </w:rPr>
        <w:t xml:space="preserve"> (leave-one-scenario-out): train on five scenarios, test on the sixth, rotate through all six, and pool the scores; this is our headline for generalising to an unseen scenario. </w:t>
      </w:r>
      <w:r>
        <w:rPr>
          <w:rFonts w:ascii="Old Standard TT" w:hAnsi="Old Standard TT"/>
          <w:b/>
        </w:rPr>
        <w:t>Pooled family cross-validation</w:t>
      </w:r>
      <w:r>
        <w:rPr>
          <w:rFonts w:ascii="Old Standard TT" w:hAnsi="Old Standard TT"/>
        </w:rPr>
        <w:t xml:space="preserve"> (five folds grouped by family): for scenarios the probe has trained on, with a fold-stratified variant that additionally compares only scores from the same fitted fold model (Section 4.2). Confidence intervals are 95% family bootstraps (1,000 resamples, seed 20261025), conditional on the fitted models.</w:t>
      </w:r>
    </w:p>
    <w:p>
      <w:pPr>
        <w:spacing w:after="120"/>
        <w:jc w:val="both"/>
      </w:pPr>
      <w:r>
        <w:rPr>
          <w:rFonts w:ascii="Old Standard TT" w:hAnsi="Old Standard TT"/>
        </w:rPr>
        <w:t xml:space="preserve">To test whether activations add to a text monitor, a </w:t>
      </w:r>
      <w:r>
        <w:rPr>
          <w:rFonts w:ascii="Old Standard TT" w:hAnsi="Old Standard TT"/>
          <w:b/>
        </w:rPr>
        <w:t>combination test</w:t>
      </w:r>
      <w:r>
        <w:rPr>
          <w:rFonts w:ascii="Old Standard TT" w:hAnsi="Old Standard TT"/>
        </w:rPr>
        <w:t xml:space="preserve"> stacks a logistic model on [round, log prompt length, monitor score] against the same plus the probe score, and reports the paired family-bootstrap difference in AUROC. An </w:t>
      </w:r>
      <w:r>
        <w:rPr>
          <w:rFonts w:ascii="Old Standard TT" w:hAnsi="Old Standard TT"/>
          <w:b/>
        </w:rPr>
        <w:t>alarm analysis</w:t>
      </w:r>
      <w:r>
        <w:rPr>
          <w:rFonts w:ascii="Old Standard TT" w:hAnsi="Old Standard TT"/>
        </w:rPr>
        <w:t xml:space="preserve"> (appendix) sets a score cutoff on benign episodes for a 5% false-alarm target and reports recall and false alarms on held recruiting episodes. The </w:t>
      </w:r>
      <w:r>
        <w:rPr>
          <w:rFonts w:ascii="Old Standard TT" w:hAnsi="Old Standard TT"/>
          <w:b/>
        </w:rPr>
        <w:t>confirmation test</w:t>
      </w:r>
      <w:r>
        <w:rPr>
          <w:rFonts w:ascii="Old Standard TT" w:hAnsi="Old Standard TT"/>
        </w:rPr>
        <w:t xml:space="preserve"> (Section 4.3) is a single frozen run on new episodes.</w:t>
      </w:r>
    </w:p>
    <w:p>
      <w:pPr>
        <w:pStyle w:val="Heading2"/>
        <w:keepNext/>
      </w:pPr>
      <w:r>
        <w:rPr>
          <w:rFonts w:ascii="Old Standard TT" w:hAnsi="Old Standard TT"/>
        </w:rPr>
        <w:t>4. Results</w:t>
      </w:r>
    </w:p>
    <w:p>
      <w:pPr>
        <w:spacing w:after="120"/>
      </w:pPr>
      <w:r>
        <w:rPr>
          <w:rFonts w:ascii="Old Standard TT" w:hAnsi="Old Standard TT"/>
        </w:rPr>
        <w:t>Table 1 reports the representative all-data near-term comparison used to test table layout.</w:t>
      </w:r>
    </w:p>
    <w:p>
      <w:pPr>
        <w:keepNext/>
        <w:spacing w:before="160" w:after="80"/>
        <w:jc w:val="center"/>
      </w:pPr>
      <w:r>
        <w:rPr>
          <w:rFonts w:ascii="Old Standard TT" w:hAnsi="Old Standard TT"/>
          <w:b/>
          <w:sz w:val="19"/>
        </w:rPr>
        <w:t xml:space="preserve">Table 1. </w:t>
      </w:r>
      <w:r>
        <w:rPr>
          <w:rFonts w:ascii="Old Standard TT" w:hAnsi="Old Standard TT"/>
          <w:sz w:val="19"/>
        </w:rPr>
        <w:t>Near-term violation prediction on the combined Qwen3-32B dataset. AUROC compares steps within the same scenario and round; brackets show 95% family-bootstrap confidence intervals.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560"/>
        <w:gridCol w:w="1560"/>
        <w:gridCol w:w="1560"/>
        <w:gridCol w:w="1560"/>
        <w:gridCol w:w="1560"/>
        <w:gridCol w:w="1560"/>
      </w:tblGrid>
      <w:tr>
        <w:trPr>
          <w:tblHeader w:val="true"/>
        </w:trPr>
        <w:tc>
          <w:tcPr>
            <w:tcW w:type="dxa" w:w="1037"/>
            <w:vAlign w:val="center"/>
            <w:tcMar>
              <w:top w:w="80" w:type="dxa"/>
              <w:start w:w="90" w:type="dxa"/>
              <w:bottom w:w="80" w:type="dxa"/>
              <w:end w:w="90" w:type="dxa"/>
            </w:tcMar>
            <w:shd w:fill="404040"/>
          </w:tcPr>
          <w:p>
            <w:pPr>
              <w:spacing w:after="0"/>
              <w:jc w:val="center"/>
            </w:pPr>
            <w:r>
              <w:rPr>
                <w:rFonts w:ascii="Old Standard TT" w:hAnsi="Old Standard TT"/>
                <w:b/>
                <w:color w:val="FFFFFF"/>
                <w:sz w:val="17"/>
              </w:rPr>
              <w:t>Label</w:t>
            </w:r>
          </w:p>
        </w:tc>
        <w:tc>
          <w:tcPr>
            <w:tcW w:type="dxa" w:w="936"/>
            <w:vAlign w:val="center"/>
            <w:tcMar>
              <w:top w:w="80" w:type="dxa"/>
              <w:start w:w="90" w:type="dxa"/>
              <w:bottom w:w="80" w:type="dxa"/>
              <w:end w:w="90" w:type="dxa"/>
            </w:tcMar>
            <w:shd w:fill="404040"/>
          </w:tcPr>
          <w:p>
            <w:pPr>
              <w:spacing w:after="0"/>
              <w:jc w:val="center"/>
            </w:pPr>
            <w:r>
              <w:rPr>
                <w:rFonts w:ascii="Old Standard TT" w:hAnsi="Old Standard TT"/>
                <w:b/>
                <w:color w:val="FFFFFF"/>
                <w:sz w:val="17"/>
              </w:rPr>
              <w:t>Analysis</w:t>
            </w:r>
          </w:p>
        </w:tc>
        <w:tc>
          <w:tcPr>
            <w:tcW w:type="dxa" w:w="2016"/>
            <w:vAlign w:val="center"/>
            <w:tcMar>
              <w:top w:w="80" w:type="dxa"/>
              <w:start w:w="90" w:type="dxa"/>
              <w:bottom w:w="80" w:type="dxa"/>
              <w:end w:w="90" w:type="dxa"/>
            </w:tcMar>
            <w:shd w:fill="404040"/>
          </w:tcPr>
          <w:p>
            <w:pPr>
              <w:spacing w:after="0"/>
              <w:jc w:val="center"/>
            </w:pPr>
            <w:r>
              <w:rPr>
                <w:rFonts w:ascii="Old Standard TT" w:hAnsi="Old Standard TT"/>
                <w:b/>
                <w:color w:val="FFFFFF"/>
                <w:sz w:val="17"/>
              </w:rPr>
              <w:t>Probe within scenario x round</w:t>
            </w:r>
          </w:p>
        </w:tc>
        <w:tc>
          <w:tcPr>
            <w:tcW w:type="dxa" w:w="1699"/>
            <w:vAlign w:val="center"/>
            <w:tcMar>
              <w:top w:w="80" w:type="dxa"/>
              <w:start w:w="90" w:type="dxa"/>
              <w:bottom w:w="80" w:type="dxa"/>
              <w:end w:w="90" w:type="dxa"/>
            </w:tcMar>
            <w:shd w:fill="404040"/>
          </w:tcPr>
          <w:p>
            <w:pPr>
              <w:spacing w:after="0"/>
              <w:jc w:val="center"/>
            </w:pPr>
            <w:r>
              <w:rPr>
                <w:rFonts w:ascii="Old Standard TT" w:hAnsi="Old Standard TT"/>
                <w:b/>
                <w:color w:val="FFFFFF"/>
                <w:sz w:val="17"/>
              </w:rPr>
              <w:t>Fold-stratified probe</w:t>
            </w:r>
          </w:p>
        </w:tc>
        <w:tc>
          <w:tcPr>
            <w:tcW w:type="dxa" w:w="1728"/>
            <w:vAlign w:val="center"/>
            <w:tcMar>
              <w:top w:w="80" w:type="dxa"/>
              <w:start w:w="90" w:type="dxa"/>
              <w:bottom w:w="80" w:type="dxa"/>
              <w:end w:w="90" w:type="dxa"/>
            </w:tcMar>
            <w:shd w:fill="404040"/>
          </w:tcPr>
          <w:p>
            <w:pPr>
              <w:spacing w:after="0"/>
              <w:jc w:val="center"/>
            </w:pPr>
            <w:r>
              <w:rPr>
                <w:rFonts w:ascii="Old Standard TT" w:hAnsi="Old Standard TT"/>
                <w:b/>
                <w:color w:val="FFFFFF"/>
                <w:sz w:val="17"/>
              </w:rPr>
              <w:t>Jev forecaster L3</w:t>
            </w:r>
          </w:p>
        </w:tc>
        <w:tc>
          <w:tcPr>
            <w:tcW w:type="dxa" w:w="1944"/>
            <w:vAlign w:val="center"/>
            <w:tcMar>
              <w:top w:w="80" w:type="dxa"/>
              <w:start w:w="90" w:type="dxa"/>
              <w:bottom w:w="80" w:type="dxa"/>
              <w:end w:w="90" w:type="dxa"/>
            </w:tcMar>
            <w:shd w:fill="404040"/>
          </w:tcPr>
          <w:p>
            <w:pPr>
              <w:spacing w:after="0"/>
              <w:jc w:val="center"/>
            </w:pPr>
            <w:r>
              <w:rPr>
                <w:rFonts w:ascii="Old Standard TT" w:hAnsi="Old Standard TT"/>
                <w:b/>
                <w:color w:val="FFFFFF"/>
                <w:sz w:val="17"/>
              </w:rPr>
              <w:t>GPT-5-nano detector L2</w:t>
            </w:r>
          </w:p>
        </w:tc>
      </w:tr>
      <w:tr>
        <w:tc>
          <w:tcPr>
            <w:tcW w:type="dxa" w:w="1037"/>
            <w:vAlign w:val="center"/>
            <w:tcMar>
              <w:top w:w="80" w:type="dxa"/>
              <w:start w:w="90" w:type="dxa"/>
              <w:bottom w:w="80" w:type="dxa"/>
              <w:end w:w="90" w:type="dxa"/>
            </w:tcMar>
          </w:tcPr>
          <w:p>
            <w:pPr>
              <w:spacing w:after="0"/>
              <w:jc w:val="left"/>
            </w:pPr>
            <w:r>
              <w:rPr>
                <w:rFonts w:ascii="Old Standard TT" w:hAnsi="Old Standard TT"/>
                <w:sz w:val="17"/>
              </w:rPr>
              <w:t>Near-term A</w:t>
            </w:r>
          </w:p>
        </w:tc>
        <w:tc>
          <w:tcPr>
            <w:tcW w:type="dxa" w:w="936"/>
            <w:vAlign w:val="center"/>
            <w:tcMar>
              <w:top w:w="80" w:type="dxa"/>
              <w:start w:w="90" w:type="dxa"/>
              <w:bottom w:w="80" w:type="dxa"/>
              <w:end w:w="90" w:type="dxa"/>
            </w:tcMar>
          </w:tcPr>
          <w:p>
            <w:pPr>
              <w:spacing w:after="0"/>
              <w:jc w:val="left"/>
            </w:pPr>
            <w:r>
              <w:rPr>
                <w:rFonts w:ascii="Old Standard TT" w:hAnsi="Old Standard TT"/>
                <w:sz w:val="17"/>
              </w:rPr>
              <w:t>Pooled</w:t>
            </w:r>
          </w:p>
        </w:tc>
        <w:tc>
          <w:tcPr>
            <w:tcW w:type="dxa" w:w="2016"/>
            <w:vAlign w:val="center"/>
            <w:tcMar>
              <w:top w:w="80" w:type="dxa"/>
              <w:start w:w="90" w:type="dxa"/>
              <w:bottom w:w="80" w:type="dxa"/>
              <w:end w:w="90" w:type="dxa"/>
            </w:tcMar>
          </w:tcPr>
          <w:p>
            <w:pPr>
              <w:spacing w:after="0"/>
              <w:jc w:val="center"/>
            </w:pPr>
            <w:r>
              <w:rPr>
                <w:rFonts w:ascii="Old Standard TT" w:hAnsi="Old Standard TT"/>
                <w:sz w:val="17"/>
              </w:rPr>
              <w:t>0.586 [0.541, 0.631]</w:t>
            </w:r>
          </w:p>
        </w:tc>
        <w:tc>
          <w:tcPr>
            <w:tcW w:type="dxa" w:w="1699"/>
            <w:vAlign w:val="center"/>
            <w:tcMar>
              <w:top w:w="80" w:type="dxa"/>
              <w:start w:w="90" w:type="dxa"/>
              <w:bottom w:w="80" w:type="dxa"/>
              <w:end w:w="90" w:type="dxa"/>
            </w:tcMar>
          </w:tcPr>
          <w:p>
            <w:pPr>
              <w:spacing w:after="0"/>
              <w:jc w:val="center"/>
            </w:pPr>
            <w:r>
              <w:rPr>
                <w:rFonts w:ascii="Old Standard TT" w:hAnsi="Old Standard TT"/>
                <w:sz w:val="17"/>
              </w:rPr>
              <w:t>0.618 [0.571, 0.666]</w:t>
            </w:r>
          </w:p>
        </w:tc>
        <w:tc>
          <w:tcPr>
            <w:tcW w:type="dxa" w:w="1728"/>
            <w:vAlign w:val="center"/>
            <w:tcMar>
              <w:top w:w="80" w:type="dxa"/>
              <w:start w:w="90" w:type="dxa"/>
              <w:bottom w:w="80" w:type="dxa"/>
              <w:end w:w="90" w:type="dxa"/>
            </w:tcMar>
          </w:tcPr>
          <w:p>
            <w:pPr>
              <w:spacing w:after="0"/>
              <w:jc w:val="center"/>
            </w:pPr>
            <w:r>
              <w:rPr>
                <w:rFonts w:ascii="Old Standard TT" w:hAnsi="Old Standard TT"/>
                <w:sz w:val="17"/>
              </w:rPr>
              <w:t>0.650 [0.608, 0.688]</w:t>
            </w:r>
          </w:p>
        </w:tc>
        <w:tc>
          <w:tcPr>
            <w:tcW w:type="dxa" w:w="1944"/>
            <w:vAlign w:val="center"/>
            <w:tcMar>
              <w:top w:w="80" w:type="dxa"/>
              <w:start w:w="90" w:type="dxa"/>
              <w:bottom w:w="80" w:type="dxa"/>
              <w:end w:w="90" w:type="dxa"/>
            </w:tcMar>
          </w:tcPr>
          <w:p>
            <w:pPr>
              <w:spacing w:after="0"/>
              <w:jc w:val="center"/>
            </w:pPr>
            <w:r>
              <w:rPr>
                <w:rFonts w:ascii="Old Standard TT" w:hAnsi="Old Standard TT"/>
                <w:sz w:val="17"/>
              </w:rPr>
              <w:t>0.557 [0.518, 0.593]</w:t>
            </w:r>
          </w:p>
        </w:tc>
      </w:tr>
      <w:tr>
        <w:tc>
          <w:tcPr>
            <w:tcW w:type="dxa" w:w="1037"/>
            <w:vAlign w:val="center"/>
            <w:tcMar>
              <w:top w:w="80" w:type="dxa"/>
              <w:start w:w="90" w:type="dxa"/>
              <w:bottom w:w="80" w:type="dxa"/>
              <w:end w:w="90" w:type="dxa"/>
            </w:tcMar>
            <w:shd w:fill="F2F2F2"/>
          </w:tcPr>
          <w:p>
            <w:pPr>
              <w:spacing w:after="0"/>
              <w:jc w:val="left"/>
            </w:pPr>
            <w:r>
              <w:rPr>
                <w:rFonts w:ascii="Old Standard TT" w:hAnsi="Old Standard TT"/>
                <w:sz w:val="17"/>
              </w:rPr>
              <w:t>Near-term A</w:t>
            </w:r>
          </w:p>
        </w:tc>
        <w:tc>
          <w:tcPr>
            <w:tcW w:type="dxa" w:w="936"/>
            <w:vAlign w:val="center"/>
            <w:tcMar>
              <w:top w:w="80" w:type="dxa"/>
              <w:start w:w="90" w:type="dxa"/>
              <w:bottom w:w="80" w:type="dxa"/>
              <w:end w:w="90" w:type="dxa"/>
            </w:tcMar>
            <w:shd w:fill="F2F2F2"/>
          </w:tcPr>
          <w:p>
            <w:pPr>
              <w:spacing w:after="0"/>
              <w:jc w:val="left"/>
            </w:pPr>
            <w:r>
              <w:rPr>
                <w:rFonts w:ascii="Old Standard TT" w:hAnsi="Old Standard TT"/>
                <w:sz w:val="17"/>
              </w:rPr>
              <w:t>LOSO</w:t>
            </w:r>
          </w:p>
        </w:tc>
        <w:tc>
          <w:tcPr>
            <w:tcW w:type="dxa" w:w="2016"/>
            <w:vAlign w:val="center"/>
            <w:tcMar>
              <w:top w:w="80" w:type="dxa"/>
              <w:start w:w="90" w:type="dxa"/>
              <w:bottom w:w="80" w:type="dxa"/>
              <w:end w:w="90" w:type="dxa"/>
            </w:tcMar>
            <w:shd w:fill="F2F2F2"/>
          </w:tcPr>
          <w:p>
            <w:pPr>
              <w:spacing w:after="0"/>
              <w:jc w:val="center"/>
            </w:pPr>
            <w:r>
              <w:rPr>
                <w:rFonts w:ascii="Old Standard TT" w:hAnsi="Old Standard TT"/>
                <w:sz w:val="17"/>
              </w:rPr>
              <w:t>0.579 [0.537, 0.619]</w:t>
            </w:r>
          </w:p>
        </w:tc>
        <w:tc>
          <w:tcPr>
            <w:tcW w:type="dxa" w:w="1699"/>
            <w:vAlign w:val="center"/>
            <w:tcMar>
              <w:top w:w="80" w:type="dxa"/>
              <w:start w:w="90" w:type="dxa"/>
              <w:bottom w:w="80" w:type="dxa"/>
              <w:end w:w="90" w:type="dxa"/>
            </w:tcMar>
            <w:shd w:fill="F2F2F2"/>
          </w:tcPr>
          <w:p>
            <w:pPr>
              <w:spacing w:after="0"/>
              <w:jc w:val="center"/>
            </w:pPr>
            <w:r>
              <w:rPr>
                <w:rFonts w:ascii="Old Standard TT" w:hAnsi="Old Standard TT"/>
                <w:sz w:val="17"/>
              </w:rPr>
              <w:t>0.579 [0.537, 0.619]</w:t>
            </w:r>
          </w:p>
        </w:tc>
        <w:tc>
          <w:tcPr>
            <w:tcW w:type="dxa" w:w="1728"/>
            <w:vAlign w:val="center"/>
            <w:tcMar>
              <w:top w:w="80" w:type="dxa"/>
              <w:start w:w="90" w:type="dxa"/>
              <w:bottom w:w="80" w:type="dxa"/>
              <w:end w:w="90" w:type="dxa"/>
            </w:tcMar>
            <w:shd w:fill="F2F2F2"/>
          </w:tcPr>
          <w:p>
            <w:pPr>
              <w:spacing w:after="0"/>
              <w:jc w:val="center"/>
            </w:pPr>
            <w:r>
              <w:rPr>
                <w:rFonts w:ascii="Old Standard TT" w:hAnsi="Old Standard TT"/>
                <w:sz w:val="17"/>
              </w:rPr>
              <w:t>0.650 [0.608, 0.688]</w:t>
            </w:r>
          </w:p>
        </w:tc>
        <w:tc>
          <w:tcPr>
            <w:tcW w:type="dxa" w:w="1944"/>
            <w:vAlign w:val="center"/>
            <w:tcMar>
              <w:top w:w="80" w:type="dxa"/>
              <w:start w:w="90" w:type="dxa"/>
              <w:bottom w:w="80" w:type="dxa"/>
              <w:end w:w="90" w:type="dxa"/>
            </w:tcMar>
            <w:shd w:fill="F2F2F2"/>
          </w:tcPr>
          <w:p>
            <w:pPr>
              <w:spacing w:after="0"/>
              <w:jc w:val="center"/>
            </w:pPr>
            <w:r>
              <w:rPr>
                <w:rFonts w:ascii="Old Standard TT" w:hAnsi="Old Standard TT"/>
                <w:sz w:val="17"/>
              </w:rPr>
              <w:t>0.557 [0.518, 0.593]</w:t>
            </w:r>
          </w:p>
        </w:tc>
      </w:tr>
    </w:tbl>
    <w:p>
      <w:pPr>
        <w:spacing w:before="200" w:after="80"/>
      </w:pPr>
      <w:r>
        <w:rPr>
          <w:rFonts w:ascii="Old Standard TT" w:hAnsi="Old Standard TT"/>
        </w:rPr>
        <w:t>Figure 1 shows the cumulative give-in rate by round across target models and pressure conditions.</w:t>
      </w:r>
    </w:p>
    <w:p>
      <w:pPr>
        <w:keepNext/>
        <w:spacing w:after="40"/>
        <w:jc w:val="center"/>
      </w:pPr>
      <w:r>
        <w:drawing>
          <wp:inline>
            <wp:extent cx="5715000" cy="3333750"/>
            <wp:docPr id="1" name="Picture 1" descr="Six line charts comparing cumulative give-in rates by round for Qwen3-32B, Gemma4-31B, and gpt-oss-20b under plain and higher-pressure peer conditions." title="Cumulative give-in rate by round"/>
            <wp:cNvGraphicFramePr>
              <a:graphicFrameLocks noChangeAspect="1"/>
            </wp:cNvGraphicFramePr>
            <a:graphic>
              <a:graphicData uri="http://schemas.openxmlformats.org/drawingml/2006/picture">
                <pic:pic>
                  <pic:nvPicPr>
                    <pic:cNvPr id="0" name="cumulative_give_in.png"/>
                    <pic:cNvPicPr/>
                  </pic:nvPicPr>
                  <pic:blipFill>
                    <a:blip r:embed="rId8"/>
                    <a:stretch>
                      <a:fillRect/>
                    </a:stretch>
                  </pic:blipFill>
                  <pic:spPr>
                    <a:xfrm>
                      <a:off x="0" y="0"/>
                      <a:ext cx="5715000" cy="3333750"/>
                    </a:xfrm>
                    <a:prstGeom prst="rect"/>
                  </pic:spPr>
                </pic:pic>
              </a:graphicData>
            </a:graphic>
          </wp:inline>
        </w:drawing>
      </w:r>
    </w:p>
    <w:p>
      <w:pPr>
        <w:keepNext w:val="0"/>
        <w:spacing w:before="160" w:after="160"/>
        <w:jc w:val="center"/>
      </w:pPr>
      <w:r>
        <w:rPr>
          <w:rFonts w:ascii="Old Standard TT" w:hAnsi="Old Standard TT"/>
          <w:b/>
          <w:sz w:val="19"/>
        </w:rPr>
        <w:t xml:space="preserve">Figure 1. </w:t>
      </w:r>
      <w:r>
        <w:rPr>
          <w:rFonts w:ascii="Old Standard TT" w:hAnsi="Old Standard TT"/>
          <w:sz w:val="19"/>
        </w:rPr>
        <w:t>Cumulative give-in rate by round for the target-model behavior screens. Curves use the same deterministic full-value publication rule as the main evaluation.</w:t>
      </w:r>
    </w:p>
    <w:p>
      <w:pPr>
        <w:pStyle w:val="Heading2"/>
        <w:keepNext/>
      </w:pPr>
      <w:r>
        <w:rPr>
          <w:rFonts w:ascii="Old Standard TT" w:hAnsi="Old Standard TT"/>
        </w:rPr>
        <w:t>5. Discussion and Limitations</w:t>
      </w:r>
    </w:p>
    <w:p>
      <w:pPr>
        <w:pStyle w:val="Heading3"/>
        <w:keepNext/>
      </w:pPr>
      <w:r>
        <w:rPr>
          <w:rFonts w:ascii="Old Standard TT" w:hAnsi="Old Standard TT"/>
        </w:rPr>
        <w:t>Limitations</w:t>
      </w:r>
    </w:p>
    <w:p>
      <w:pPr>
        <w:pStyle w:val="Heading3"/>
        <w:keepNext/>
      </w:pPr>
      <w:r>
        <w:rPr>
          <w:rFonts w:ascii="Old Standard TT" w:hAnsi="Old Standard TT"/>
        </w:rPr>
        <w:t>Future Work</w:t>
      </w:r>
    </w:p>
    <w:p>
      <w:pPr>
        <w:pStyle w:val="Heading2"/>
        <w:keepNext/>
      </w:pPr>
      <w:r>
        <w:rPr>
          <w:rFonts w:ascii="Old Standard TT" w:hAnsi="Old Standard TT"/>
        </w:rPr>
        <w:t>6. Conclusion</w:t>
      </w:r>
    </w:p>
    <w:p>
      <w:pPr>
        <w:pStyle w:val="Heading2"/>
        <w:keepNext/>
      </w:pPr>
      <w:r>
        <w:rPr>
          <w:rFonts w:ascii="Old Standard TT" w:hAnsi="Old Standard TT"/>
        </w:rPr>
        <w:t>Code and Data</w:t>
      </w:r>
    </w:p>
    <w:p>
      <w:pPr>
        <w:pStyle w:val="Heading2"/>
        <w:keepNext/>
      </w:pPr>
      <w:r>
        <w:rPr>
          <w:rFonts w:ascii="Old Standard TT" w:hAnsi="Old Standard TT"/>
        </w:rPr>
        <w:t>Author Contributions (optional)</w:t>
      </w:r>
    </w:p>
    <w:p>
      <w:pPr>
        <w:pStyle w:val="Heading2"/>
        <w:keepNext/>
      </w:pPr>
      <w:r>
        <w:rPr>
          <w:rFonts w:ascii="Old Standard TT" w:hAnsi="Old Standard TT"/>
        </w:rPr>
        <w:t>References</w:t>
      </w:r>
    </w:p>
    <w:p>
      <w:pPr>
        <w:pStyle w:val="Heading2"/>
        <w:keepNext/>
      </w:pPr>
      <w:r>
        <w:rPr>
          <w:rFonts w:ascii="Old Standard TT" w:hAnsi="Old Standard TT"/>
        </w:rPr>
        <w:t>Appendix (optional)</w:t>
      </w:r>
    </w:p>
    <w:p>
      <w:pPr>
        <w:pStyle w:val="Heading2"/>
        <w:keepNext/>
      </w:pPr>
      <w:r>
        <w:rPr>
          <w:rFonts w:ascii="Old Standard TT" w:hAnsi="Old Standard TT"/>
        </w:rPr>
        <w:t>LLM Usage Statement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color w:val="000000"/>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