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In an exploratory, post hoc test, a probe reading gpt-oss-20b’s reasoning tokens as they stream recognised the reply that leaks (AUROC 0.93 on held-out scenarios, against 0.49 for the last-prompt probe), but within that reply, not earlier.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 Our leak, an exact string, is deliberately a simple, verifiable case that an output filter could catch. We use it as a first, sprint-scale test of whether a give-in can be anticipated at all, before harder cases where no filter applies and anticipation matters most: paraphrased or semantic disclosures, and harmful actions with no fixed signature.</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3"/>
        <w:keepNext/>
        <w:spacing w:before="200" w:lineRule="auto"/>
        <w:rPr>
          <w:rFonts w:ascii="Old Standard TT" w:cs="Old Standard TT" w:eastAsia="Old Standard TT" w:hAnsi="Old Standard TT"/>
          <w:b w:val="1"/>
          <w:bCs w:val="1"/>
          <w:color w:val="000000"/>
          <w:sz w:val="26"/>
          <w:szCs w:val="26"/>
        </w:rPr>
      </w:pPr>
      <w:bookmarkStart w:id="36" w:name="_27307e9924cdf97e25c11ce9cc6fafa65fc81a8"/>
      <w:r>
        <w:rPr>
          <w:rFonts w:ascii="Old Standard TT" w:hAnsi="Old Standard TT"/>
          <w:b/>
          <w:sz w:val="26"/>
        </w:rPr>
        <w:t xml:space="preserve">4.7 Exploratory: reading the reasoning as it streams</w:t>
      </w:r>
      <w:bookmarkEnd w:id="36"/>
    </w:p>
    <w:p>
      <w:pPr>
        <w:pStyle w:val="FirstParagraph"/>
        <w:widowControl/>
        <w:spacing w:after="0" w:line="259" w:lineRule="auto"/>
        <w:ind w:firstLine="0"/>
        <w:jc w:val="both"/>
      </w:pPr>
      <w:r>
        <w:rPr>
          <w:rFonts w:ascii="XCharter" w:hAnsi="XCharter" w:cs="XCharter" w:eastAsia="XCharter"/>
          <w:sz w:val="22"/>
        </w:rPr>
        <w:t xml:space="preserve">After the main analysis, we asked whether the give-in becomes readable within the reply, which a probe at the last prompt token cannot see. On the same 238 gpt-oss-20b episodes we added each episode’s first public-emission reply and scored every saved reasoning token with a linear probe (same folds, recipe and candidate layers), taking each reply’s maximum. The label is whether this reply makes the first public emission of the value by any route, which is broader than the paper’s channel outcome. On held-out scenarios the probe separates leaking replies at 0.93 [0.91, 0.95] (1,995 replies with reasoning, 121 leaking), against 0.49 for the last-prompt probe on the same replies, 0.60 for Jev reading the same reasoning, 0.40–0.48 for fixed keyword rules and 0.69 for reply length (a retrospective check). With a cutoff set on control replies for a nominal 5% false-alarm rate, it flags 85% of the leaking replies that have reasoning, at a median 8% of the way into the reasoning, while 4% of replies in held episodes alarm. On the near-term label it reaches only 0.64. This is post hoc, on one model, with several variants tried, and 25 of the 146 leaking replies have no reasoning, so end-to-end coverage is about 70%. It shows that a give-in, once the model reasons toward it, can be read before the action, not that it can be predicted earlier (Appendix J.8).</w:t>
      </w:r>
    </w:p>
    <w:p>
      <w:pPr>
        <w:pStyle w:val="Heading2"/>
        <w:keepNext/>
        <w:spacing w:after="0" w:before="200" w:line="360" w:lineRule="auto"/>
        <w:rPr>
          <w:rFonts w:ascii="Old Standard TT" w:cs="Old Standard TT" w:eastAsia="Old Standard TT" w:hAnsi="Old Standard TT"/>
          <w:b w:val="1"/>
          <w:bCs w:val="1"/>
          <w:sz w:val="28"/>
          <w:szCs w:val="28"/>
        </w:rPr>
      </w:pPr>
      <w:bookmarkStart w:id="37" w:name="_cbd875682116f3153fa9a8f9c77c00f8b5fdab1"/>
      <w:r>
        <w:rPr>
          <w:rFonts w:ascii="Old Standard TT" w:hAnsi="Old Standard TT"/>
          <w:b/>
          <w:sz w:val="28"/>
        </w:rPr>
        <w:t xml:space="preserve">5. Discussion and Limitations</w:t>
      </w:r>
      <w:bookmarkEnd w:id="37"/>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when rerun for three rounds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Prediction adds value where no string can be matched; as a cheap early layer that decides when to escalate to costlier checks, the cascade logic of Constitutional Classifiers++</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and by acting on the recruiter (alerting the operator, isolating the peer) rather than blocking one action while the pressure continues and can move to other agents. Our finding that warnings arrive late means action-time gating remains necessary; prediction is a complementary early layer, and it is currently weak.</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limitations"/>
      <w:r>
        <w:rPr>
          <w:rFonts w:ascii="Old Standard TT" w:hAnsi="Old Standard TT"/>
          <w:b/>
          <w:sz w:val="26"/>
        </w:rPr>
        <w:t xml:space="preserve">Limitations</w:t>
      </w:r>
      <w:bookmarkEnd w:id="38"/>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32691ce30b0dd97ec3690ce7d97c5c9a26aa3b1"/>
      <w:r>
        <w:rPr>
          <w:rFonts w:ascii="Old Standard TT" w:hAnsi="Old Standard TT"/>
          <w:b/>
          <w:sz w:val="26"/>
        </w:rPr>
        <w:t xml:space="preserve">Future Work</w:t>
      </w:r>
      <w:bookmarkEnd w:id="39"/>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 The streaming result (</w:t>
      </w:r>
      <w:hyperlink w:anchor="_27307e9924cdf97e25c11ce9cc6fafa65fc81a8">
        <w:r>
          <w:rPr>
            <w:rStyle w:val="Hyperlink"/>
            <w:rFonts w:ascii="XCharter" w:hAnsi="XCharter" w:cs="XCharter" w:eastAsia="XCharter"/>
            <w:color w:val="000080"/>
            <w:sz w:val="22"/>
            <w:u w:val="none"/>
          </w:rPr>
          <w:t xml:space="preserve">§4.7</w:t>
        </w:r>
      </w:hyperlink>
      <w:r>
        <w:rPr>
          <w:rFonts w:ascii="XCharter" w:hAnsi="XCharter" w:cs="XCharter" w:eastAsia="XCharter"/>
          <w:sz w:val="22"/>
        </w:rPr>
        <w:t xml:space="preserve">) points to per-token probes that can stop a reply between the decision and the action, as streaming classifiers and token-level probes do for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they need a prospective test on more models, with incoming messages scored too. Running Qwen3-32B with thinking on, which our screens tried only on a few episodes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would give a probe the target’s reasoning to read before it acts.</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conclusion"/>
      <w:r>
        <w:rPr>
          <w:rFonts w:ascii="Old Standard TT" w:hAnsi="Old Standard TT"/>
          <w:b/>
          <w:sz w:val="28"/>
        </w:rPr>
        <w:t xml:space="preserve">6. Conclusion</w:t>
      </w:r>
      <w:bookmarkEnd w:id="40"/>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1f6b0a6dd8de899b0bf2d89a88c0574c2ef490f"/>
      <w:r>
        <w:rPr>
          <w:rFonts w:ascii="Old Standard TT" w:hAnsi="Old Standard TT"/>
          <w:b/>
          <w:sz w:val="28"/>
        </w:rPr>
        <w:t xml:space="preserve">Code and Data</w:t>
      </w:r>
      <w:bookmarkEnd w:id="41"/>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2" w:name="_references"/>
      <w:r>
        <w:rPr>
          <w:rFonts w:ascii="Old Standard TT" w:hAnsi="Old Standard TT"/>
          <w:b/>
          <w:sz w:val="28"/>
        </w:rPr>
        <w:t xml:space="preserve">References</w:t>
      </w:r>
      <w:bookmarkEnd w:id="42"/>
    </w:p>
    <w:bookmarkStart w:id="135" w:name="_refs"/>
    <w:p>
      <w:pPr>
        <w:pStyle w:val="Bibliography"/>
        <w:widowControl/>
        <w:spacing w:line="259" w:lineRule="auto" w:after="80"/>
        <w:ind w:left="360" w:hanging="360"/>
        <w:jc w:val="left"/>
      </w:pPr>
      <w:bookmarkStart w:id="44"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3">
        <w:r>
          <w:rPr>
            <w:rStyle w:val="Hyperlink"/>
            <w:rFonts w:ascii="XCharter" w:hAnsi="XCharter" w:cs="XCharter" w:eastAsia="XCharter"/>
            <w:color w:val="000080"/>
            <w:sz w:val="22"/>
            <w:u w:val="none"/>
          </w:rPr>
          <w:t xml:space="preserve">https://www.alphaxiv.org/abs/2610.frozen-states-future-action-prediction</w:t>
        </w:r>
      </w:hyperlink>
      <w:bookmarkEnd w:id="44"/>
    </w:p>
    <w:p>
      <w:pPr>
        <w:pStyle w:val="Bibliography"/>
        <w:widowControl/>
        <w:spacing w:line="259" w:lineRule="auto" w:after="80"/>
        <w:ind w:left="360" w:hanging="360"/>
        <w:jc w:val="left"/>
      </w:pPr>
      <w:bookmarkStart w:id="46"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5">
        <w:r>
          <w:rPr>
            <w:rStyle w:val="Hyperlink"/>
            <w:rFonts w:ascii="XCharter" w:hAnsi="XCharter" w:cs="XCharter" w:eastAsia="XCharter"/>
            <w:color w:val="000080"/>
            <w:sz w:val="22"/>
            <w:u w:val="none"/>
          </w:rPr>
          <w:t xml:space="preserve">https://arxiv.org/abs/2507.01413</w:t>
        </w:r>
      </w:hyperlink>
      <w:bookmarkEnd w:id="46"/>
    </w:p>
    <w:p>
      <w:pPr>
        <w:pStyle w:val="Bibliography"/>
        <w:widowControl/>
        <w:spacing w:line="259" w:lineRule="auto" w:after="80"/>
        <w:ind w:left="360" w:hanging="360"/>
        <w:jc w:val="left"/>
      </w:pPr>
      <w:bookmarkStart w:id="48"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7">
        <w:r>
          <w:rPr>
            <w:rStyle w:val="Hyperlink"/>
            <w:rFonts w:ascii="XCharter" w:hAnsi="XCharter" w:cs="XCharter" w:eastAsia="XCharter"/>
            <w:color w:val="000080"/>
            <w:sz w:val="22"/>
            <w:u w:val="none"/>
          </w:rPr>
          <w:t xml:space="preserve">https://typesafe.ai/blog/introducing-system-one-models-and-jev</w:t>
        </w:r>
      </w:hyperlink>
      <w:bookmarkEnd w:id="48"/>
    </w:p>
    <w:p>
      <w:pPr>
        <w:pStyle w:val="Bibliography"/>
        <w:widowControl/>
        <w:spacing w:line="259" w:lineRule="auto" w:after="80"/>
        <w:ind w:left="360" w:hanging="360"/>
        <w:jc w:val="left"/>
      </w:pPr>
      <w:bookmarkStart w:id="50"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9">
        <w:r>
          <w:rPr>
            <w:rStyle w:val="Hyperlink"/>
            <w:rFonts w:ascii="XCharter" w:hAnsi="XCharter" w:cs="XCharter" w:eastAsia="XCharter"/>
            <w:color w:val="000080"/>
            <w:sz w:val="22"/>
            <w:u w:val="none"/>
          </w:rPr>
          <w:t xml:space="preserve">https://arxiv.org/abs/2601.21112</w:t>
        </w:r>
      </w:hyperlink>
      <w:bookmarkEnd w:id="50"/>
    </w:p>
    <w:p>
      <w:pPr>
        <w:pStyle w:val="Bibliography"/>
        <w:widowControl/>
        <w:spacing w:line="259" w:lineRule="auto" w:after="80"/>
        <w:ind w:left="360" w:hanging="360"/>
        <w:jc w:val="left"/>
      </w:pPr>
      <w:bookmarkStart w:id="52"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1">
        <w:r>
          <w:rPr>
            <w:rStyle w:val="Hyperlink"/>
            <w:rFonts w:ascii="XCharter" w:hAnsi="XCharter" w:cs="XCharter" w:eastAsia="XCharter"/>
            <w:color w:val="000080"/>
            <w:sz w:val="22"/>
            <w:u w:val="none"/>
          </w:rPr>
          <w:t xml:space="preserve">https://arxiv.org/abs/2502.13329</w:t>
        </w:r>
      </w:hyperlink>
      <w:bookmarkEnd w:id="52"/>
    </w:p>
    <w:p>
      <w:pPr>
        <w:pStyle w:val="Bibliography"/>
        <w:widowControl/>
        <w:spacing w:line="259" w:lineRule="auto" w:after="80"/>
        <w:ind w:left="360" w:hanging="360"/>
        <w:jc w:val="left"/>
      </w:pPr>
      <w:bookmarkStart w:id="54"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3">
        <w:r>
          <w:rPr>
            <w:rStyle w:val="Hyperlink"/>
            <w:rFonts w:ascii="XCharter" w:hAnsi="XCharter" w:cs="XCharter" w:eastAsia="XCharter"/>
            <w:color w:val="000080"/>
            <w:sz w:val="22"/>
            <w:u w:val="none"/>
          </w:rPr>
          <w:t xml:space="preserve">https://arxiv.org/abs/2512.03097</w:t>
        </w:r>
      </w:hyperlink>
      <w:bookmarkEnd w:id="54"/>
    </w:p>
    <w:p>
      <w:pPr>
        <w:pStyle w:val="Bibliography"/>
        <w:widowControl/>
        <w:spacing w:line="259" w:lineRule="auto" w:after="80"/>
        <w:ind w:left="360" w:hanging="360"/>
        <w:jc w:val="left"/>
      </w:pPr>
      <w:bookmarkStart w:id="56"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5">
        <w:r>
          <w:rPr>
            <w:rStyle w:val="Hyperlink"/>
            <w:rFonts w:ascii="XCharter" w:hAnsi="XCharter" w:cs="XCharter" w:eastAsia="XCharter"/>
            <w:color w:val="000080"/>
            <w:sz w:val="22"/>
            <w:u w:val="none"/>
          </w:rPr>
          <w:t xml:space="preserve">https://doi.org/10.1145/3786335.3813181</w:t>
        </w:r>
      </w:hyperlink>
      <w:bookmarkEnd w:id="56"/>
    </w:p>
    <w:p>
      <w:pPr>
        <w:pStyle w:val="Bibliography"/>
        <w:widowControl/>
        <w:spacing w:line="259" w:lineRule="auto" w:after="80"/>
        <w:ind w:left="360" w:hanging="360"/>
        <w:jc w:val="left"/>
      </w:pPr>
      <w:bookmarkStart w:id="58"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7">
        <w:r>
          <w:rPr>
            <w:rStyle w:val="Hyperlink"/>
            <w:rFonts w:ascii="XCharter" w:hAnsi="XCharter" w:cs="XCharter" w:eastAsia="XCharter"/>
            <w:color w:val="000080"/>
            <w:sz w:val="22"/>
            <w:u w:val="none"/>
          </w:rPr>
          <w:t xml:space="preserve">https://arxiv.org/abs/2601.04603</w:t>
        </w:r>
      </w:hyperlink>
      <w:bookmarkEnd w:id="58"/>
    </w:p>
    <w:p>
      <w:pPr>
        <w:pStyle w:val="Bibliography"/>
        <w:widowControl/>
        <w:spacing w:line="259" w:lineRule="auto" w:after="80"/>
        <w:ind w:left="360" w:hanging="360"/>
        <w:jc w:val="left"/>
      </w:pPr>
      <w:bookmarkStart w:id="60"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9">
        <w:r>
          <w:rPr>
            <w:rStyle w:val="Hyperlink"/>
            <w:rFonts w:ascii="XCharter" w:hAnsi="XCharter" w:cs="XCharter" w:eastAsia="XCharter"/>
            <w:color w:val="000080"/>
            <w:sz w:val="22"/>
            <w:u w:val="none"/>
          </w:rPr>
          <w:t xml:space="preserve">https://arxiv.org/abs/2406.13352</w:t>
        </w:r>
      </w:hyperlink>
      <w:bookmarkEnd w:id="60"/>
    </w:p>
    <w:p>
      <w:pPr>
        <w:pStyle w:val="Bibliography"/>
        <w:widowControl/>
        <w:spacing w:line="259" w:lineRule="auto" w:after="80"/>
        <w:ind w:left="360" w:hanging="360"/>
        <w:jc w:val="left"/>
      </w:pPr>
      <w:bookmarkStart w:id="62"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1">
        <w:r>
          <w:rPr>
            <w:rStyle w:val="Hyperlink"/>
            <w:rFonts w:ascii="XCharter" w:hAnsi="XCharter" w:cs="XCharter" w:eastAsia="XCharter"/>
            <w:color w:val="000080"/>
            <w:sz w:val="22"/>
            <w:u w:val="none"/>
          </w:rPr>
          <w:t xml:space="preserve">https://openrouter.ai/deepseek/deepseek-v4-flash</w:t>
        </w:r>
      </w:hyperlink>
      <w:bookmarkEnd w:id="62"/>
    </w:p>
    <w:p>
      <w:pPr>
        <w:pStyle w:val="Bibliography"/>
        <w:widowControl/>
        <w:spacing w:line="259" w:lineRule="auto" w:after="80"/>
        <w:ind w:left="360" w:hanging="360"/>
        <w:jc w:val="left"/>
      </w:pPr>
      <w:bookmarkStart w:id="64"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3">
        <w:r>
          <w:rPr>
            <w:rStyle w:val="Hyperlink"/>
            <w:rFonts w:ascii="XCharter" w:hAnsi="XCharter" w:cs="XCharter" w:eastAsia="XCharter"/>
            <w:color w:val="000080"/>
            <w:sz w:val="22"/>
            <w:u w:val="none"/>
          </w:rPr>
          <w:t xml:space="preserve">https://arxiv.org/abs/2608.02657</w:t>
        </w:r>
      </w:hyperlink>
      <w:bookmarkEnd w:id="64"/>
    </w:p>
    <w:p>
      <w:pPr>
        <w:pStyle w:val="Bibliography"/>
        <w:widowControl/>
        <w:spacing w:line="259" w:lineRule="auto" w:after="80"/>
        <w:ind w:left="360" w:hanging="360"/>
        <w:jc w:val="left"/>
      </w:pPr>
      <w:bookmarkStart w:id="66"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5">
        <w:r>
          <w:rPr>
            <w:rStyle w:val="Hyperlink"/>
            <w:rFonts w:ascii="XCharter" w:hAnsi="XCharter" w:cs="XCharter" w:eastAsia="XCharter"/>
            <w:color w:val="000080"/>
            <w:sz w:val="22"/>
            <w:u w:val="none"/>
          </w:rPr>
          <w:t xml:space="preserve">https://arxiv.org/abs/2610.17301</w:t>
        </w:r>
      </w:hyperlink>
      <w:bookmarkEnd w:id="66"/>
    </w:p>
    <w:p>
      <w:pPr>
        <w:pStyle w:val="Bibliography"/>
        <w:widowControl/>
        <w:spacing w:line="259" w:lineRule="auto" w:after="80"/>
        <w:ind w:left="360" w:hanging="360"/>
        <w:jc w:val="left"/>
      </w:pPr>
      <w:bookmarkStart w:id="68"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7">
        <w:r>
          <w:rPr>
            <w:rStyle w:val="Hyperlink"/>
            <w:rFonts w:ascii="XCharter" w:hAnsi="XCharter" w:cs="XCharter" w:eastAsia="XCharter"/>
            <w:color w:val="000080"/>
            <w:sz w:val="22"/>
            <w:u w:val="none"/>
          </w:rPr>
          <w:t xml:space="preserve">https://arxiv.org/abs/2404.00806</w:t>
        </w:r>
      </w:hyperlink>
      <w:bookmarkEnd w:id="68"/>
    </w:p>
    <w:p>
      <w:pPr>
        <w:pStyle w:val="Bibliography"/>
        <w:widowControl/>
        <w:spacing w:line="259" w:lineRule="auto" w:after="80"/>
        <w:ind w:left="360" w:hanging="360"/>
        <w:jc w:val="left"/>
      </w:pPr>
      <w:bookmarkStart w:id="70"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9">
        <w:r>
          <w:rPr>
            <w:rStyle w:val="Hyperlink"/>
            <w:rFonts w:ascii="XCharter" w:hAnsi="XCharter" w:cs="XCharter" w:eastAsia="XCharter"/>
            <w:color w:val="000080"/>
            <w:sz w:val="22"/>
            <w:u w:val="none"/>
          </w:rPr>
          <w:t xml:space="preserve">https://arxiv.org/abs/2606.30449</w:t>
        </w:r>
      </w:hyperlink>
      <w:bookmarkEnd w:id="70"/>
    </w:p>
    <w:p>
      <w:pPr>
        <w:pStyle w:val="Bibliography"/>
        <w:widowControl/>
        <w:spacing w:line="259" w:lineRule="auto" w:after="80"/>
        <w:ind w:left="360" w:hanging="360"/>
        <w:jc w:val="left"/>
      </w:pPr>
      <w:bookmarkStart w:id="72"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1">
        <w:r>
          <w:rPr>
            <w:rStyle w:val="Hyperlink"/>
            <w:rFonts w:ascii="XCharter" w:hAnsi="XCharter" w:cs="XCharter" w:eastAsia="XCharter"/>
            <w:color w:val="000080"/>
            <w:sz w:val="22"/>
            <w:u w:val="none"/>
          </w:rPr>
          <w:t xml:space="preserve">https://arxiv.org/abs/2610.04575</w:t>
        </w:r>
      </w:hyperlink>
      <w:bookmarkEnd w:id="72"/>
    </w:p>
    <w:p>
      <w:pPr>
        <w:pStyle w:val="Bibliography"/>
        <w:widowControl/>
        <w:spacing w:line="259" w:lineRule="auto" w:after="80"/>
        <w:ind w:left="360" w:hanging="360"/>
        <w:jc w:val="left"/>
      </w:pPr>
      <w:bookmarkStart w:id="74"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3">
        <w:r>
          <w:rPr>
            <w:rStyle w:val="Hyperlink"/>
            <w:rFonts w:ascii="XCharter" w:hAnsi="XCharter" w:cs="XCharter" w:eastAsia="XCharter"/>
            <w:color w:val="000080"/>
            <w:sz w:val="22"/>
            <w:u w:val="none"/>
          </w:rPr>
          <w:t xml:space="preserve">https://arxiv.org/abs/2502.03407</w:t>
        </w:r>
      </w:hyperlink>
      <w:bookmarkEnd w:id="74"/>
    </w:p>
    <w:p>
      <w:pPr>
        <w:pStyle w:val="Bibliography"/>
        <w:widowControl/>
        <w:spacing w:line="259" w:lineRule="auto" w:after="80"/>
        <w:ind w:left="360" w:hanging="360"/>
        <w:jc w:val="left"/>
      </w:pPr>
      <w:bookmarkStart w:id="76"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5">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6"/>
    </w:p>
    <w:p>
      <w:pPr>
        <w:pStyle w:val="Bibliography"/>
        <w:widowControl/>
        <w:spacing w:line="259" w:lineRule="auto" w:after="80"/>
        <w:ind w:left="360" w:hanging="360"/>
        <w:jc w:val="left"/>
      </w:pPr>
      <w:bookmarkStart w:id="78"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7">
        <w:r>
          <w:rPr>
            <w:rStyle w:val="Hyperlink"/>
            <w:rFonts w:ascii="XCharter" w:hAnsi="XCharter" w:cs="XCharter" w:eastAsia="XCharter"/>
            <w:color w:val="000080"/>
            <w:sz w:val="22"/>
            <w:u w:val="none"/>
          </w:rPr>
          <w:t xml:space="preserve">https://github.com/UKGovernmentBEIS/control-arena</w:t>
        </w:r>
      </w:hyperlink>
      <w:bookmarkEnd w:id="78"/>
    </w:p>
    <w:p>
      <w:pPr>
        <w:pStyle w:val="Bibliography"/>
        <w:widowControl/>
        <w:spacing w:line="259" w:lineRule="auto" w:after="80"/>
        <w:ind w:left="360" w:hanging="360"/>
        <w:jc w:val="left"/>
      </w:pPr>
      <w:bookmarkStart w:id="80"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9">
        <w:r>
          <w:rPr>
            <w:rStyle w:val="Hyperlink"/>
            <w:rFonts w:ascii="XCharter" w:hAnsi="XCharter" w:cs="XCharter" w:eastAsia="XCharter"/>
            <w:color w:val="000080"/>
            <w:sz w:val="22"/>
            <w:u w:val="none"/>
          </w:rPr>
          <w:t xml:space="preserve">https://arxiv.org/abs/2411.03343</w:t>
        </w:r>
      </w:hyperlink>
      <w:bookmarkEnd w:id="80"/>
    </w:p>
    <w:p>
      <w:pPr>
        <w:pStyle w:val="Bibliography"/>
        <w:widowControl/>
        <w:spacing w:line="259" w:lineRule="auto" w:after="80"/>
        <w:ind w:left="360" w:hanging="360"/>
        <w:jc w:val="left"/>
      </w:pPr>
      <w:bookmarkStart w:id="82"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1">
        <w:r>
          <w:rPr>
            <w:rStyle w:val="Hyperlink"/>
            <w:rFonts w:ascii="XCharter" w:hAnsi="XCharter" w:cs="XCharter" w:eastAsia="XCharter"/>
            <w:color w:val="000080"/>
            <w:sz w:val="22"/>
            <w:u w:val="none"/>
          </w:rPr>
          <w:t xml:space="preserve">https://arxiv.org/abs/2606.11172</w:t>
        </w:r>
      </w:hyperlink>
      <w:bookmarkEnd w:id="82"/>
    </w:p>
    <w:p>
      <w:pPr>
        <w:pStyle w:val="Bibliography"/>
        <w:widowControl/>
        <w:spacing w:line="259" w:lineRule="auto" w:after="80"/>
        <w:ind w:left="360" w:hanging="360"/>
        <w:jc w:val="left"/>
      </w:pPr>
      <w:bookmarkStart w:id="84"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3">
        <w:r>
          <w:rPr>
            <w:rStyle w:val="Hyperlink"/>
            <w:rFonts w:ascii="XCharter" w:hAnsi="XCharter" w:cs="XCharter" w:eastAsia="XCharter"/>
            <w:color w:val="000080"/>
            <w:sz w:val="22"/>
            <w:u w:val="none"/>
          </w:rPr>
          <w:t xml:space="preserve">https://arxiv.org/abs/2601.11516</w:t>
        </w:r>
      </w:hyperlink>
      <w:bookmarkEnd w:id="84"/>
    </w:p>
    <w:p>
      <w:pPr>
        <w:pStyle w:val="Bibliography"/>
        <w:widowControl/>
        <w:spacing w:line="259" w:lineRule="auto" w:after="80"/>
        <w:ind w:left="360" w:hanging="360"/>
        <w:jc w:val="left"/>
      </w:pPr>
      <w:bookmarkStart w:id="86"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5">
        <w:r>
          <w:rPr>
            <w:rStyle w:val="Hyperlink"/>
            <w:rFonts w:ascii="XCharter" w:hAnsi="XCharter" w:cs="XCharter" w:eastAsia="XCharter"/>
            <w:color w:val="000080"/>
            <w:sz w:val="22"/>
            <w:u w:val="none"/>
          </w:rPr>
          <w:t xml:space="preserve">https://arxiv.org/abs/2410.00031</w:t>
        </w:r>
      </w:hyperlink>
      <w:bookmarkEnd w:id="86"/>
    </w:p>
    <w:p>
      <w:pPr>
        <w:pStyle w:val="Bibliography"/>
        <w:widowControl/>
        <w:spacing w:line="259" w:lineRule="auto" w:after="80"/>
        <w:ind w:left="360" w:hanging="360"/>
        <w:jc w:val="left"/>
      </w:pPr>
      <w:bookmarkStart w:id="88"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7">
        <w:r>
          <w:rPr>
            <w:rStyle w:val="Hyperlink"/>
            <w:rFonts w:ascii="XCharter" w:hAnsi="XCharter" w:cs="XCharter" w:eastAsia="XCharter"/>
            <w:color w:val="000080"/>
            <w:sz w:val="22"/>
            <w:u w:val="none"/>
          </w:rPr>
          <w:t xml:space="preserve">https://www.usenix.org/conference/usenixsecurity24/presentation/liu-yupei</w:t>
        </w:r>
      </w:hyperlink>
      <w:bookmarkEnd w:id="88"/>
    </w:p>
    <w:p>
      <w:pPr>
        <w:pStyle w:val="Bibliography"/>
        <w:widowControl/>
        <w:spacing w:line="259" w:lineRule="auto" w:after="80"/>
        <w:ind w:left="360" w:hanging="360"/>
        <w:jc w:val="left"/>
      </w:pPr>
      <w:bookmarkStart w:id="90"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9">
        <w:r>
          <w:rPr>
            <w:rStyle w:val="Hyperlink"/>
            <w:rFonts w:ascii="XCharter" w:hAnsi="XCharter" w:cs="XCharter" w:eastAsia="XCharter"/>
            <w:color w:val="000080"/>
            <w:sz w:val="22"/>
            <w:u w:val="none"/>
          </w:rPr>
          <w:t xml:space="preserve">https://www.anthropic.com/news/probes-catch-sleeper-agents</w:t>
        </w:r>
      </w:hyperlink>
      <w:bookmarkEnd w:id="90"/>
    </w:p>
    <w:p>
      <w:pPr>
        <w:pStyle w:val="Bibliography"/>
        <w:widowControl/>
        <w:spacing w:line="259" w:lineRule="auto" w:after="80"/>
        <w:ind w:left="360" w:hanging="360"/>
        <w:jc w:val="left"/>
      </w:pPr>
      <w:bookmarkStart w:id="92"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1">
        <w:r>
          <w:rPr>
            <w:rStyle w:val="Hyperlink"/>
            <w:rFonts w:ascii="XCharter" w:hAnsi="XCharter" w:cs="XCharter" w:eastAsia="XCharter"/>
            <w:color w:val="000080"/>
            <w:sz w:val="22"/>
            <w:u w:val="none"/>
          </w:rPr>
          <w:t xml:space="preserve">https://arxiv.org/abs/2506.10805</w:t>
        </w:r>
      </w:hyperlink>
      <w:bookmarkEnd w:id="92"/>
    </w:p>
    <w:p>
      <w:pPr>
        <w:pStyle w:val="Bibliography"/>
        <w:widowControl/>
        <w:spacing w:line="259" w:lineRule="auto" w:after="80"/>
        <w:ind w:left="360" w:hanging="360"/>
        <w:jc w:val="left"/>
      </w:pPr>
      <w:bookmarkStart w:id="94"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3">
        <w:r>
          <w:rPr>
            <w:rStyle w:val="Hyperlink"/>
            <w:rFonts w:ascii="XCharter" w:hAnsi="XCharter" w:cs="XCharter" w:eastAsia="XCharter"/>
            <w:color w:val="000080"/>
            <w:sz w:val="22"/>
            <w:u w:val="none"/>
          </w:rPr>
          <w:t xml:space="preserve">https://arxiv.org/abs/2602.15198</w:t>
        </w:r>
      </w:hyperlink>
      <w:bookmarkEnd w:id="94"/>
    </w:p>
    <w:p>
      <w:pPr>
        <w:pStyle w:val="Bibliography"/>
        <w:widowControl/>
        <w:spacing w:line="259" w:lineRule="auto" w:after="80"/>
        <w:ind w:left="360" w:hanging="360"/>
        <w:jc w:val="left"/>
      </w:pPr>
      <w:bookmarkStart w:id="96"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5">
        <w:r>
          <w:rPr>
            <w:rStyle w:val="Hyperlink"/>
            <w:rFonts w:ascii="XCharter" w:hAnsi="XCharter" w:cs="XCharter" w:eastAsia="XCharter"/>
            <w:color w:val="000080"/>
            <w:sz w:val="22"/>
            <w:u w:val="none"/>
          </w:rPr>
          <w:t xml:space="preserve">https://platform.openai.com/docs/models/gpt-5-nano</w:t>
        </w:r>
      </w:hyperlink>
      <w:bookmarkEnd w:id="96"/>
    </w:p>
    <w:p>
      <w:pPr>
        <w:pStyle w:val="Bibliography"/>
        <w:widowControl/>
        <w:spacing w:line="259" w:lineRule="auto" w:after="80"/>
        <w:ind w:left="360" w:hanging="360"/>
        <w:jc w:val="left"/>
      </w:pPr>
      <w:bookmarkStart w:id="98"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7">
        <w:r>
          <w:rPr>
            <w:rStyle w:val="Hyperlink"/>
            <w:rFonts w:ascii="XCharter" w:hAnsi="XCharter" w:cs="XCharter" w:eastAsia="XCharter"/>
            <w:color w:val="000080"/>
            <w:sz w:val="22"/>
            <w:u w:val="none"/>
          </w:rPr>
          <w:t xml:space="preserve">https://arxiv.org/abs/2508.10925</w:t>
        </w:r>
      </w:hyperlink>
      <w:bookmarkEnd w:id="98"/>
    </w:p>
    <w:p>
      <w:pPr>
        <w:pStyle w:val="Bibliography"/>
        <w:widowControl/>
        <w:spacing w:line="259" w:lineRule="auto" w:after="80"/>
        <w:ind w:left="360" w:hanging="360"/>
        <w:jc w:val="left"/>
      </w:pPr>
      <w:bookmarkStart w:id="100"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9">
        <w:r>
          <w:rPr>
            <w:rStyle w:val="Hyperlink"/>
            <w:rFonts w:ascii="XCharter" w:hAnsi="XCharter" w:cs="XCharter" w:eastAsia="XCharter"/>
            <w:color w:val="000080"/>
            <w:sz w:val="22"/>
            <w:u w:val="none"/>
          </w:rPr>
          <w:t xml:space="preserve">https://huggingface.co/openai/gpt-oss-20b</w:t>
        </w:r>
      </w:hyperlink>
      <w:bookmarkEnd w:id="100"/>
    </w:p>
    <w:p>
      <w:pPr>
        <w:pStyle w:val="Bibliography"/>
        <w:widowControl/>
        <w:spacing w:line="259" w:lineRule="auto" w:after="80"/>
        <w:ind w:left="360" w:hanging="360"/>
        <w:jc w:val="left"/>
      </w:pPr>
      <w:bookmarkStart w:id="102"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1">
        <w:r>
          <w:rPr>
            <w:rStyle w:val="Hyperlink"/>
            <w:rFonts w:ascii="XCharter" w:hAnsi="XCharter" w:cs="XCharter" w:eastAsia="XCharter"/>
            <w:color w:val="000080"/>
            <w:sz w:val="22"/>
            <w:u w:val="none"/>
          </w:rPr>
          <w:t xml:space="preserve">https://openrouter.ai/openai/gpt-6-luna-decisions</w:t>
        </w:r>
      </w:hyperlink>
      <w:bookmarkEnd w:id="102"/>
    </w:p>
    <w:p>
      <w:pPr>
        <w:pStyle w:val="Bibliography"/>
        <w:widowControl/>
        <w:spacing w:line="259" w:lineRule="auto" w:after="80"/>
        <w:ind w:left="360" w:hanging="360"/>
        <w:jc w:val="left"/>
      </w:pPr>
      <w:bookmarkStart w:id="104"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3">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4"/>
    </w:p>
    <w:p>
      <w:pPr>
        <w:pStyle w:val="Bibliography"/>
        <w:widowControl/>
        <w:spacing w:line="259" w:lineRule="auto" w:after="80"/>
        <w:ind w:left="360" w:hanging="360"/>
        <w:jc w:val="left"/>
      </w:pPr>
      <w:bookmarkStart w:id="106"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5">
        <w:r>
          <w:rPr>
            <w:rStyle w:val="Hyperlink"/>
            <w:rFonts w:ascii="XCharter" w:hAnsi="XCharter" w:cs="XCharter" w:eastAsia="XCharter"/>
            <w:color w:val="000080"/>
            <w:sz w:val="22"/>
            <w:u w:val="none"/>
          </w:rPr>
          <w:t xml:space="preserve">https://arxiv.org/abs/2609.35576</w:t>
        </w:r>
      </w:hyperlink>
      <w:bookmarkEnd w:id="106"/>
    </w:p>
    <w:p>
      <w:pPr>
        <w:pStyle w:val="Bibliography"/>
        <w:widowControl/>
        <w:spacing w:line="259" w:lineRule="auto" w:after="80"/>
        <w:ind w:left="360" w:hanging="360"/>
        <w:jc w:val="left"/>
      </w:pPr>
      <w:bookmarkStart w:id="108"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7">
        <w:r>
          <w:rPr>
            <w:rStyle w:val="Hyperlink"/>
            <w:rFonts w:ascii="XCharter" w:hAnsi="XCharter" w:cs="XCharter" w:eastAsia="XCharter"/>
            <w:color w:val="000080"/>
            <w:sz w:val="22"/>
            <w:u w:val="none"/>
          </w:rPr>
          <w:t xml:space="preserve">https://huggingface.co/Qwen/Qwen3-32B</w:t>
        </w:r>
      </w:hyperlink>
      <w:bookmarkEnd w:id="108"/>
    </w:p>
    <w:p>
      <w:pPr>
        <w:pStyle w:val="Bibliography"/>
        <w:widowControl/>
        <w:spacing w:line="259" w:lineRule="auto" w:after="80"/>
        <w:ind w:left="360" w:hanging="360"/>
        <w:jc w:val="left"/>
      </w:pPr>
      <w:bookmarkStart w:id="110"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9">
        <w:r>
          <w:rPr>
            <w:rStyle w:val="Hyperlink"/>
            <w:rFonts w:ascii="XCharter" w:hAnsi="XCharter" w:cs="XCharter" w:eastAsia="XCharter"/>
            <w:color w:val="000080"/>
            <w:sz w:val="22"/>
            <w:u w:val="none"/>
          </w:rPr>
          <w:t xml:space="preserve">https://arxiv.org/abs/2605.29178</w:t>
        </w:r>
      </w:hyperlink>
      <w:bookmarkEnd w:id="110"/>
    </w:p>
    <w:p>
      <w:pPr>
        <w:pStyle w:val="Bibliography"/>
        <w:widowControl/>
        <w:spacing w:line="259" w:lineRule="auto" w:after="80"/>
        <w:ind w:left="360" w:hanging="360"/>
        <w:jc w:val="left"/>
      </w:pPr>
      <w:bookmarkStart w:id="112"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1">
        <w:r>
          <w:rPr>
            <w:rStyle w:val="Hyperlink"/>
            <w:rFonts w:ascii="XCharter" w:hAnsi="XCharter" w:cs="XCharter" w:eastAsia="XCharter"/>
            <w:color w:val="000080"/>
            <w:sz w:val="22"/>
            <w:u w:val="none"/>
          </w:rPr>
          <w:t xml:space="preserve">https://arxiv.org/abs/2604.01151</w:t>
        </w:r>
      </w:hyperlink>
      <w:bookmarkEnd w:id="112"/>
    </w:p>
    <w:p>
      <w:pPr>
        <w:pStyle w:val="Bibliography"/>
        <w:widowControl/>
        <w:spacing w:line="259" w:lineRule="auto" w:after="80"/>
        <w:ind w:left="360" w:hanging="360"/>
        <w:jc w:val="left"/>
      </w:pPr>
      <w:bookmarkStart w:id="114"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3">
        <w:r>
          <w:rPr>
            <w:rStyle w:val="Hyperlink"/>
            <w:rFonts w:ascii="XCharter" w:hAnsi="XCharter" w:cs="XCharter" w:eastAsia="XCharter"/>
            <w:color w:val="000080"/>
            <w:sz w:val="22"/>
            <w:u w:val="none"/>
          </w:rPr>
          <w:t xml:space="preserve">https://arxiv.org/abs/2607.06503</w:t>
        </w:r>
      </w:hyperlink>
      <w:bookmarkEnd w:id="114"/>
    </w:p>
    <w:p>
      <w:pPr>
        <w:pStyle w:val="Bibliography"/>
        <w:widowControl/>
        <w:spacing w:line="259" w:lineRule="auto" w:after="80"/>
        <w:ind w:left="360" w:hanging="360"/>
        <w:jc w:val="left"/>
      </w:pPr>
      <w:bookmarkStart w:id="116"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5">
        <w:r>
          <w:rPr>
            <w:rStyle w:val="Hyperlink"/>
            <w:rFonts w:ascii="XCharter" w:hAnsi="XCharter" w:cs="XCharter" w:eastAsia="XCharter"/>
            <w:color w:val="000080"/>
            <w:sz w:val="22"/>
            <w:u w:val="none"/>
          </w:rPr>
          <w:t xml:space="preserve">https://github.com/soham-padia/pre-sycophancy-study</w:t>
        </w:r>
      </w:hyperlink>
      <w:bookmarkEnd w:id="116"/>
    </w:p>
    <w:p>
      <w:pPr>
        <w:pStyle w:val="Bibliography"/>
        <w:widowControl/>
        <w:spacing w:line="259" w:lineRule="auto" w:after="80"/>
        <w:ind w:left="360" w:hanging="360"/>
        <w:jc w:val="left"/>
      </w:pPr>
      <w:bookmarkStart w:id="118"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7">
        <w:r>
          <w:rPr>
            <w:rStyle w:val="Hyperlink"/>
            <w:rFonts w:ascii="XCharter" w:hAnsi="XCharter" w:cs="XCharter" w:eastAsia="XCharter"/>
            <w:color w:val="000080"/>
            <w:sz w:val="22"/>
            <w:u w:val="none"/>
          </w:rPr>
          <w:t xml:space="preserve">https://arxiv.org/abs/2501.18837</w:t>
        </w:r>
      </w:hyperlink>
      <w:bookmarkEnd w:id="118"/>
    </w:p>
    <w:p>
      <w:pPr>
        <w:pStyle w:val="Bibliography"/>
        <w:widowControl/>
        <w:spacing w:line="259" w:lineRule="auto" w:after="80"/>
        <w:ind w:left="360" w:hanging="360"/>
        <w:jc w:val="left"/>
      </w:pPr>
      <w:bookmarkStart w:id="120"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9">
        <w:r>
          <w:rPr>
            <w:rStyle w:val="Hyperlink"/>
            <w:rFonts w:ascii="XCharter" w:hAnsi="XCharter" w:cs="XCharter" w:eastAsia="XCharter"/>
            <w:color w:val="000080"/>
            <w:sz w:val="22"/>
            <w:u w:val="none"/>
          </w:rPr>
          <w:t xml:space="preserve">https://arxiv.org/abs/2607.05132</w:t>
        </w:r>
      </w:hyperlink>
      <w:bookmarkEnd w:id="120"/>
    </w:p>
    <w:p>
      <w:pPr>
        <w:pStyle w:val="Bibliography"/>
        <w:widowControl/>
        <w:spacing w:line="259" w:lineRule="auto" w:after="80"/>
        <w:ind w:left="360" w:hanging="360"/>
        <w:jc w:val="left"/>
      </w:pPr>
      <w:bookmarkStart w:id="122"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1">
        <w:r>
          <w:rPr>
            <w:rStyle w:val="Hyperlink"/>
            <w:rFonts w:ascii="XCharter" w:hAnsi="XCharter" w:cs="XCharter" w:eastAsia="XCharter"/>
            <w:color w:val="000080"/>
            <w:sz w:val="22"/>
            <w:u w:val="none"/>
          </w:rPr>
          <w:t xml:space="preserve">https://arxiv.org/abs/2609.24967</w:t>
        </w:r>
      </w:hyperlink>
      <w:bookmarkEnd w:id="122"/>
    </w:p>
    <w:p>
      <w:pPr>
        <w:pStyle w:val="Bibliography"/>
        <w:widowControl/>
        <w:spacing w:line="259" w:lineRule="auto" w:after="80"/>
        <w:ind w:left="360" w:hanging="360"/>
        <w:jc w:val="left"/>
      </w:pPr>
      <w:bookmarkStart w:id="124"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3">
        <w:r>
          <w:rPr>
            <w:rStyle w:val="Hyperlink"/>
            <w:rFonts w:ascii="XCharter" w:hAnsi="XCharter" w:cs="XCharter" w:eastAsia="XCharter"/>
            <w:color w:val="000080"/>
            <w:sz w:val="22"/>
            <w:u w:val="none"/>
          </w:rPr>
          <w:t xml:space="preserve">https://arxiv.org/abs/2609.09090</w:t>
        </w:r>
      </w:hyperlink>
      <w:bookmarkEnd w:id="124"/>
    </w:p>
    <w:p>
      <w:pPr>
        <w:pStyle w:val="Bibliography"/>
        <w:widowControl/>
        <w:spacing w:line="259" w:lineRule="auto" w:after="80"/>
        <w:ind w:left="360" w:hanging="360"/>
        <w:jc w:val="left"/>
      </w:pPr>
      <w:bookmarkStart w:id="126"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5">
        <w:r>
          <w:rPr>
            <w:rStyle w:val="Hyperlink"/>
            <w:rFonts w:ascii="XCharter" w:hAnsi="XCharter" w:cs="XCharter" w:eastAsia="XCharter"/>
            <w:color w:val="000080"/>
            <w:sz w:val="22"/>
            <w:u w:val="none"/>
          </w:rPr>
          <w:t xml:space="preserve">https://arxiv.org/abs/2603.13940</w:t>
        </w:r>
      </w:hyperlink>
      <w:bookmarkEnd w:id="126"/>
    </w:p>
    <w:p>
      <w:pPr>
        <w:pStyle w:val="Bibliography"/>
        <w:widowControl/>
        <w:spacing w:line="259" w:lineRule="auto" w:after="80"/>
        <w:ind w:left="360" w:hanging="360"/>
        <w:jc w:val="left"/>
      </w:pPr>
      <w:bookmarkStart w:id="128"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7">
        <w:r>
          <w:rPr>
            <w:rStyle w:val="Hyperlink"/>
            <w:rFonts w:ascii="XCharter" w:hAnsi="XCharter" w:cs="XCharter" w:eastAsia="XCharter"/>
            <w:color w:val="000080"/>
            <w:sz w:val="22"/>
            <w:u w:val="none"/>
          </w:rPr>
          <w:t xml:space="preserve">https://arxiv.org/abs/2604.16824</w:t>
        </w:r>
      </w:hyperlink>
      <w:bookmarkEnd w:id="128"/>
    </w:p>
    <w:p>
      <w:pPr>
        <w:pStyle w:val="Bibliography"/>
        <w:widowControl/>
        <w:spacing w:line="259" w:lineRule="auto" w:after="80"/>
        <w:ind w:left="360" w:hanging="360"/>
        <w:jc w:val="left"/>
      </w:pPr>
      <w:bookmarkStart w:id="130"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9">
        <w:r>
          <w:rPr>
            <w:rStyle w:val="Hyperlink"/>
            <w:rFonts w:ascii="XCharter" w:hAnsi="XCharter" w:cs="XCharter" w:eastAsia="XCharter"/>
            <w:color w:val="000080"/>
            <w:sz w:val="22"/>
            <w:u w:val="none"/>
          </w:rPr>
          <w:t xml:space="preserve">https://arxiv.org/abs/2505.09388</w:t>
        </w:r>
      </w:hyperlink>
      <w:bookmarkEnd w:id="130"/>
    </w:p>
    <w:p>
      <w:pPr>
        <w:pStyle w:val="Bibliography"/>
        <w:widowControl/>
        <w:spacing w:line="259" w:lineRule="auto" w:after="80"/>
        <w:ind w:left="360" w:hanging="360"/>
        <w:jc w:val="left"/>
      </w:pPr>
      <w:bookmarkStart w:id="132"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1">
        <w:r>
          <w:rPr>
            <w:rStyle w:val="Hyperlink"/>
            <w:rFonts w:ascii="XCharter" w:hAnsi="XCharter" w:cs="XCharter" w:eastAsia="XCharter"/>
            <w:color w:val="000080"/>
            <w:sz w:val="22"/>
            <w:u w:val="none"/>
          </w:rPr>
          <w:t xml:space="preserve">https://arxiv.org/abs/2610.05295</w:t>
        </w:r>
      </w:hyperlink>
      <w:bookmarkEnd w:id="132"/>
    </w:p>
    <w:p>
      <w:pPr>
        <w:pStyle w:val="Bibliography"/>
        <w:widowControl/>
        <w:spacing w:line="259" w:lineRule="auto" w:after="80"/>
        <w:ind w:left="360" w:hanging="360"/>
        <w:jc w:val="left"/>
      </w:pPr>
      <w:bookmarkStart w:id="134"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3">
        <w:r>
          <w:rPr>
            <w:rStyle w:val="Hyperlink"/>
            <w:rFonts w:ascii="XCharter" w:hAnsi="XCharter" w:cs="XCharter" w:eastAsia="XCharter"/>
            <w:color w:val="000080"/>
            <w:sz w:val="22"/>
            <w:u w:val="none"/>
          </w:rPr>
          <w:t xml:space="preserve">https://arxiv.org/abs/2605.27593</w:t>
        </w:r>
      </w:hyperlink>
      <w:bookmarkEnd w:id="134"/>
    </w:p>
    <w:bookmarkEnd w:id="135"/>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6" w:name="_appendix"/>
      <w:r>
        <w:rPr>
          <w:rFonts w:ascii="Old Standard TT" w:hAnsi="Old Standard TT"/>
          <w:b/>
          <w:sz w:val="28"/>
        </w:rPr>
        <w:t xml:space="preserve">Appendix</w:t>
      </w:r>
      <w:bookmarkEnd w:id="136"/>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7" w:name="_d863e5dd50f3a2c5a9f9d67c38d6db1a7983c65"/>
      <w:r>
        <w:rPr>
          <w:rFonts w:ascii="Old Standard TT" w:hAnsi="Old Standard TT"/>
          <w:b/>
          <w:sz w:val="26"/>
        </w:rPr>
        <w:t xml:space="preserve">A. Limitations and Dual-Use / Ethical Considerations</w:t>
      </w:r>
      <w:bookmarkEnd w:id="137"/>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steps is the out-of-fold probe score, and the fold probes behind those scores were trained on overlapping steps,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1c2832545d6be5937b2db194f5b1e2f4105b9d9"/>
      <w:r>
        <w:rPr>
          <w:rFonts w:ascii="Old Standard TT" w:hAnsi="Old Standard TT"/>
          <w:b/>
          <w:sz w:val="26"/>
        </w:rPr>
        <w:t xml:space="preserve">B. Experimental Pipeline and Reproducibility</w:t>
      </w:r>
      <w:bookmarkEnd w:id="138"/>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0" name="Picture"/>
            <a:graphic>
              <a:graphicData uri="http://schemas.openxmlformats.org/drawingml/2006/picture">
                <pic:pic>
                  <pic:nvPicPr>
                    <pic:cNvPr descr="figures/pipeline.png" id="141" name="Picture"/>
                    <pic:cNvPicPr>
                      <a:picLocks noChangeArrowheads="1" noChangeAspect="1"/>
                    </pic:cNvPicPr>
                  </pic:nvPicPr>
                  <pic:blipFill>
                    <a:blip r:embed="rId139"/>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2"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 This exposure probe labels each step by whether the protected value is already in context, uses all valid steps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3" w:name="_29f519cfe2b273e1f41de0c770c5dd81f1818a5"/>
      <w:r>
        <w:rPr>
          <w:rFonts w:ascii="Old Standard TT" w:hAnsi="Old Standard TT"/>
          <w:b/>
          <w:sz w:val="26"/>
        </w:rPr>
        <w:t xml:space="preserve">C. Scenarios, an Example, and Model Choice</w:t>
      </w:r>
      <w:bookmarkEnd w:id="143"/>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4"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4"/>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5" w:name="_9af0a0be73df5a4a2132a3bbde2a7aaba8a9fb7"/>
      <w:r>
        <w:rPr>
          <w:rFonts w:ascii="Old Standard TT" w:hAnsi="Old Standard TT"/>
          <w:b/>
          <w:sz w:val="26"/>
        </w:rPr>
        <w:t xml:space="preserve">D. Labels and Judges</w:t>
      </w:r>
      <w:bookmarkEnd w:id="145"/>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16e1c949c1569f7f4050c474671b93e6b4d1bae"/>
      <w:r>
        <w:rPr>
          <w:rFonts w:ascii="Old Standard TT" w:hAnsi="Old Standard TT"/>
          <w:b/>
          <w:sz w:val="26"/>
        </w:rPr>
        <w:t xml:space="preserve">E. Detectors and Evaluation</w:t>
      </w:r>
      <w:bookmarkEnd w:id="146"/>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steps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steps.</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steps,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7"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steps and scored on its test steps, so it never sees the steps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training-step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steps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steps with the layer chosen on a 25% family holdout (layers 28, 60 and 16). Each seed’s scores are z-scored over the 1,787 new steps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9" name="Picture"/>
            <a:graphic>
              <a:graphicData uri="http://schemas.openxmlformats.org/drawingml/2006/picture">
                <pic:pic>
                  <pic:nvPicPr>
                    <pic:cNvPr descr="figures/figure_monitor_design.png" id="150" name="Picture"/>
                    <pic:cNvPicPr>
                      <a:picLocks noChangeArrowheads="1" noChangeAspect="1"/>
                    </pic:cNvPicPr>
                  </pic:nvPicPr>
                  <pic:blipFill>
                    <a:blip r:embed="rId148"/>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1"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1"/>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steps,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2" w:name="_e774c98102b53efba7d6294684718b8ff2eaeba"/>
      <w:r>
        <w:rPr>
          <w:rFonts w:ascii="Old Standard TT" w:hAnsi="Old Standard TT"/>
          <w:b/>
          <w:sz w:val="26"/>
        </w:rPr>
        <w:t xml:space="preserve">F. Second Target: gpt-oss-20b (and Gemma-4-31B)</w:t>
      </w:r>
      <w:bookmarkEnd w:id="152"/>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steps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steps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3"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3"/>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190f1226d051d30d3bf4384ba25f172a7a45b0c"/>
      <w:r>
        <w:rPr>
          <w:rFonts w:ascii="Old Standard TT" w:hAnsi="Old Standard TT"/>
          <w:b/>
          <w:sz w:val="26"/>
        </w:rPr>
        <w:t xml:space="preserve">G. Behaviour Screening</w:t>
      </w:r>
      <w:bookmarkEnd w:id="154"/>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5"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7fccf12973301cf728201a32934c6648ff11624"/>
      <w:r>
        <w:rPr>
          <w:rFonts w:ascii="Old Standard TT" w:hAnsi="Old Standard TT"/>
          <w:b/>
          <w:sz w:val="26"/>
        </w:rPr>
        <w:t xml:space="preserve">H. Robustness and Diagnostics for the Main Results</w:t>
      </w:r>
      <w:bookmarkEnd w:id="156"/>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7"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8"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9"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1" name="Picture"/>
            <a:graphic>
              <a:graphicData uri="http://schemas.openxmlformats.org/drawingml/2006/picture">
                <pic:pic>
                  <pic:nvPicPr>
                    <pic:cNvPr descr="figures/appendix_h_layers.png" id="162" name="Picture"/>
                    <pic:cNvPicPr>
                      <a:picLocks noChangeArrowheads="1" noChangeAspect="1"/>
                    </pic:cNvPicPr>
                  </pic:nvPicPr>
                  <pic:blipFill>
                    <a:blip r:embed="rId160"/>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3"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3"/>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The pressure probe uses the main logistic recipe (C = 0.1, training-step standardisation, round-balanced weights) on layer 32 with no layer selection. It is trained to separate recruiting steps (label 1) from control and target-alone steps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steps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steps, and a held episode counts as a false alarm if any of its eligible steps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889344895f04d1f9f75d0ebcc55c0e9d025ecfb"/>
      <w:r>
        <w:rPr>
          <w:rFonts w:ascii="Old Standard TT" w:hAnsi="Old Standard TT"/>
          <w:b/>
          <w:sz w:val="26"/>
        </w:rPr>
        <w:t xml:space="preserve">I. Prompts</w:t>
      </w:r>
      <w:bookmarkEnd w:id="164"/>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33bf1cd3074762475a7470d90c6bbd938fdac44"/>
      <w:r>
        <w:rPr>
          <w:rFonts w:ascii="Old Standard TT" w:hAnsi="Old Standard TT"/>
          <w:b/>
          <w:sz w:val="26"/>
        </w:rPr>
        <w:t xml:space="preserve">I.1 Target agent (Qwen3-32B and gpt-oss-20b)</w:t>
      </w:r>
      <w:bookmarkEnd w:id="165"/>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d7ac7fb6a629ef29d896d387aeb1cbdff09ae31"/>
      <w:r>
        <w:rPr>
          <w:rFonts w:ascii="Old Standard TT" w:hAnsi="Old Standard TT"/>
          <w:b/>
          <w:sz w:val="26"/>
        </w:rPr>
        <w:t xml:space="preserve">I.2 Peer agent, Qwen3-32B episodes (DeepSeek-V4-Flash)</w:t>
      </w:r>
      <w:bookmarkEnd w:id="166"/>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20ca0bd4e22b8907b745ffe52788f85136b39d1"/>
      <w:r>
        <w:rPr>
          <w:rFonts w:ascii="Old Standard TT" w:hAnsi="Old Standard TT"/>
          <w:b/>
          <w:sz w:val="26"/>
        </w:rPr>
        <w:t xml:space="preserve">I.3 Peer agent, gpt-oss-20b episodes (DeepSeek-V4-Pro)</w:t>
      </w:r>
      <w:bookmarkEnd w:id="167"/>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f002de876b18b98d7718a6bd3deb30b9403007e"/>
      <w:r>
        <w:rPr>
          <w:rFonts w:ascii="Old Standard TT" w:hAnsi="Old Standard TT"/>
          <w:b/>
          <w:sz w:val="26"/>
        </w:rPr>
        <w:t xml:space="preserve">I.4 Text monitors</w:t>
      </w:r>
      <w:bookmarkEnd w:id="168"/>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9c1464226db10cf5b2f811ceea16efe8dd113a9"/>
      <w:r>
        <w:rPr>
          <w:rFonts w:ascii="Old Standard TT" w:hAnsi="Old Standard TT"/>
          <w:b/>
          <w:sz w:val="26"/>
        </w:rPr>
        <w:t xml:space="preserve">J. A Scaled Follow-Up Study: Design and Decision Criteria</w:t>
      </w:r>
      <w:bookmarkEnd w:id="169"/>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BodyText"/>
        <w:widowControl/>
        <w:spacing w:after="0" w:line="259" w:lineRule="auto"/>
        <w:ind w:firstLine="360"/>
        <w:jc w:val="both"/>
      </w:pPr>
      <w:r>
        <w:rPr>
          <w:rFonts w:ascii="XCharter" w:hAnsi="XCharter" w:cs="XCharter" w:eastAsia="XCharter"/>
          <w:b/>
          <w:bCs/>
          <w:sz w:val="22"/>
        </w:rPr>
        <w:t xml:space="preserve">J.8 Streaming, token-level monitoring: design and an exploratory test.</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reply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reply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Exploratory test (post hoc; summarised in</w:t>
      </w:r>
      <w:r>
        <w:rPr>
          <w:rFonts w:ascii="XCharter" w:hAnsi="XCharter" w:cs="XCharter" w:eastAsia="XCharter"/>
          <w:i/>
          <w:iCs/>
          <w:sz w:val="22"/>
        </w:rPr>
        <w:t xml:space="preserve"> </w:t>
      </w:r>
      <w:hyperlink w:anchor="_27307e9924cdf97e25c11ce9cc6fafa65fc81a8">
        <w:r>
          <w:rPr>
            <w:rStyle w:val="Hyperlink"/>
            <w:rFonts w:ascii="XCharter" w:hAnsi="XCharter" w:cs="XCharter" w:eastAsia="XCharter"/>
            <w:i/>
            <w:iCs/>
            <w:color w:val="000080"/>
            <w:sz w:val="22"/>
            <w:u w:val="none"/>
          </w:rPr>
          <w:t xml:space="preserve">§4.7</w:t>
        </w:r>
      </w:hyperlink>
      <w:r>
        <w:rPr>
          <w:rFonts w:ascii="XCharter" w:hAnsi="XCharter" w:cs="XCharter" w:eastAsia="XCharter"/>
          <w:i/>
          <w:iCs/>
          <w:sz w:val="22"/>
        </w:rPr>
        <w:t xml:space="preserve">).</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p>
    <w:p>
      <w:pPr>
        <w:pStyle w:val="Compact"/>
        <w:widowControl/>
        <w:numPr>
          <w:ilvl w:val="0"/>
          <w:numId w:val="1028"/>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replies from 238 episodes) ends before the first public emission, so it holds no leaking reply. We added each episode’s first public-emission reply (146 replies), giving 2,205. Of these, 1,995 have reasoning, including 121 of the 146 leaking replies; every scored token precedes the reply’s first public answer or tool-call token. Only 2 leaking replies mention the value in their reasoning.</w:t>
      </w:r>
    </w:p>
    <w:p>
      <w:pPr>
        <w:pStyle w:val="Compact"/>
        <w:widowControl/>
        <w:numPr>
          <w:ilvl w:val="0"/>
          <w:numId w:val="1028"/>
        </w:numPr>
        <w:spacing w:line="259" w:lineRule="auto" w:after="60"/>
        <w:jc w:val="left"/>
      </w:pPr>
      <w:r>
        <w:rPr>
          <w:rFonts w:ascii="XCharter" w:hAnsi="XCharter" w:cs="XCharter" w:eastAsia="XCharter"/>
          <w:b/>
          <w:bCs/>
          <w:sz w:val="22"/>
        </w:rPr>
        <w:t xml:space="preserve">Labels.</w:t>
      </w:r>
      <w:r>
        <w:rPr>
          <w:rFonts w:ascii="XCharter" w:hAnsi="XCharter" w:cs="XCharter" w:eastAsia="XCharter"/>
          <w:sz w:val="22"/>
        </w:rPr>
        <w:t xml:space="preserve"> </w:t>
      </w:r>
      <w:r>
        <w:rPr>
          <w:rFonts w:ascii="XCharter" w:hAnsi="XCharter" w:cs="XCharter" w:eastAsia="XCharter"/>
          <w:sz w:val="22"/>
        </w:rPr>
        <w:t xml:space="preserve">The primary label marks the reply that makes the first public emission of the value by any route, a file write included, so it differs from the paper’s channel outcome. The near-term comparator is the paper’s label (a channel give-in in this round or the next).</w:t>
      </w:r>
    </w:p>
    <w:p>
      <w:pPr>
        <w:pStyle w:val="Compact"/>
        <w:widowControl/>
        <w:numPr>
          <w:ilvl w:val="0"/>
          <w:numId w:val="1028"/>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reply’s label, and each reply’s weight is split equally across its tokens, so long reasoning does not dominate. A reply’s score is its maximum token score (the mean is also reported). The layer is chosen on the inner split by the reply-level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b/>
          <w:bCs/>
          <w:sz w:val="22"/>
        </w:rPr>
        <w:t xml:space="preserve">Comparators on the same replies.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Jev 1.14 and GPT-5-nano reading the reasoning so far at six cumulative cut points per reply (five evenly spaced and the full reasoning), asked</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with the reply score being the running maximum; exact values were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Reply length, reversed, as a retrospective check that a maximum over more tokens is not just rewarding length; it is not usable online.</w:t>
      </w:r>
    </w:p>
    <w:p>
      <w:pPr>
        <w:pStyle w:val="Compact"/>
        <w:widowControl/>
        <w:numPr>
          <w:ilvl w:val="0"/>
          <w:numId w:val="1028"/>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replies against the episode’s eventual outcome.</w:t>
      </w:r>
    </w:p>
    <w:p>
      <w:pPr>
        <w:pStyle w:val="Compact"/>
        <w:widowControl/>
        <w:numPr>
          <w:ilvl w:val="0"/>
          <w:numId w:val="102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replies’ maximum scores for a nominal 5% reply false-alarm rate (strictly above alarms). A leaking reply counts as warned if an alarm fires on any of its reasoning tokens; false alarms are counted on replies from held episodes.</w:t>
      </w:r>
    </w:p>
    <w:p>
      <w:pPr>
        <w:pStyle w:val="Caption"/>
        <w:keepNext/>
        <w:keepLines/>
        <w:widowControl/>
        <w:spacing w:line="240" w:lineRule="auto" w:before="0" w:after="120"/>
        <w:ind w:firstLine="0"/>
      </w:pPr>
      <w:bookmarkStart w:id="170" w:name="_c2dc5728b17d2719a31a7290a43afe5ce2d87eb"/>
      <w:r>
        <w:rPr>
          <w:rFonts w:ascii="XCharter" w:hAnsi="XCharter" w:cs="XCharter" w:eastAsia="XCharter"/>
          <w:b/>
          <w:bCs/>
          <w:sz w:val="18"/>
        </w:rPr>
        <w:t xml:space="preserve">Table J.1.</w:t>
      </w:r>
      <w:r>
        <w:rPr>
          <w:rFonts w:ascii="XCharter" w:hAnsi="XCharter" w:cs="XCharter" w:eastAsia="XCharter"/>
          <w:sz w:val="18"/>
        </w:rPr>
        <w:t xml:space="preserve"> </w:t>
      </w:r>
      <w:r>
        <w:rPr>
          <w:rFonts w:ascii="XCharter" w:hAnsi="XCharter" w:cs="XCharter" w:eastAsia="XCharter"/>
          <w:sz w:val="18"/>
        </w:rPr>
        <w:t xml:space="preserve">Recognising the leaking reply from its reasoning (gpt-oss-20b, exploratory). Within scenario × round AUROC with 95% family-bootstrap intervals, 1,995 replies (121 leaking) from 238 episodes. Text monitors and fixed rules have no fitted parameters, so their two columns are equal.</w:t>
      </w:r>
      <w:bookmarkEnd w:id="17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Reply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control-reply cutoff, the reasoning probe warns on 84.8% of the leaking replies that have reasoning (seed mean) on held-out scenarios, with 4.4% of held-episode replies alarming; pooled, 75.5% and 2.0%. Counting the 25 leaking replies with no reasoning, end-to-end coverage is about 70% held-out and 63% pooled. The first crossing comes a median 8% of the way into the reasoning (interquartile range 5–22%). Jev warns on 91.7% of leaking replies, but 9.0–9.4% of held-episode replies alarm. GPT-5-nano warns on 5.0%, with 34.6% alarming. The keyword rules never alarm, because they match more than 5% of control replies.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paper’s outcome. Within a reply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(reply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steps,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527a2614b0d9aee1dd56ba38d518b45bdf577b0"/>
      <w:r>
        <w:rPr>
          <w:rFonts w:ascii="Old Standard TT" w:hAnsi="Old Standard TT"/>
          <w:b/>
          <w:sz w:val="26"/>
        </w:rPr>
        <w:t xml:space="preserve">K. Related Work in Full</w:t>
      </w:r>
      <w:bookmarkEnd w:id="171"/>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72" w:name="_cb9581af10cbdf668d14e9255457c76a376db3f"/>
      <w:r>
        <w:rPr>
          <w:rFonts w:ascii="Old Standard TT" w:hAnsi="Old Standard TT"/>
          <w:b/>
          <w:sz w:val="28"/>
        </w:rPr>
        <w:t xml:space="preserve">LLM Usage Statement</w:t>
      </w:r>
      <w:bookmarkEnd w:id="172"/>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png"/><Relationship Id="rId18" Type="http://schemas.openxmlformats.org/officeDocument/2006/relationships/image" Target="media/rId18.png"/><Relationship Id="rId26" Type="http://schemas.openxmlformats.org/officeDocument/2006/relationships/image" Target="media/rId26.png"/><Relationship Id="rId148" Type="http://schemas.openxmlformats.org/officeDocument/2006/relationships/image" Target="media/rId148.png"/><Relationship Id="rId139" Type="http://schemas.openxmlformats.org/officeDocument/2006/relationships/image" Target="media/rId139.png"/><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5" Type="http://schemas.openxmlformats.org/officeDocument/2006/relationships/hyperlink" Target="https://arxiv.org/abs/2410.00031" TargetMode="External"/><Relationship Id="rId79" Type="http://schemas.openxmlformats.org/officeDocument/2006/relationships/hyperlink" Target="https://arxiv.org/abs/2411.03343" TargetMode="External"/><Relationship Id="rId117"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29" Type="http://schemas.openxmlformats.org/officeDocument/2006/relationships/hyperlink" Target="https://arxiv.org/abs/2505.09388" TargetMode="External"/><Relationship Id="rId91"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7"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3"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3" Type="http://schemas.openxmlformats.org/officeDocument/2006/relationships/hyperlink" Target="https://arxiv.org/abs/2602.15198" TargetMode="External"/><Relationship Id="rId125" Type="http://schemas.openxmlformats.org/officeDocument/2006/relationships/hyperlink" Target="https://arxiv.org/abs/2603.13940" TargetMode="External"/><Relationship Id="rId111" Type="http://schemas.openxmlformats.org/officeDocument/2006/relationships/hyperlink" Target="https://arxiv.org/abs/2604.01151" TargetMode="External"/><Relationship Id="rId127" Type="http://schemas.openxmlformats.org/officeDocument/2006/relationships/hyperlink" Target="https://arxiv.org/abs/2604.16824" TargetMode="External"/><Relationship Id="rId133" Type="http://schemas.openxmlformats.org/officeDocument/2006/relationships/hyperlink" Target="https://arxiv.org/abs/2605.27593" TargetMode="External"/><Relationship Id="rId109" Type="http://schemas.openxmlformats.org/officeDocument/2006/relationships/hyperlink" Target="https://arxiv.org/abs/2605.29178" TargetMode="External"/><Relationship Id="rId81"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19" Type="http://schemas.openxmlformats.org/officeDocument/2006/relationships/hyperlink" Target="https://arxiv.org/abs/2607.05132" TargetMode="External"/><Relationship Id="rId113"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3" Type="http://schemas.openxmlformats.org/officeDocument/2006/relationships/hyperlink" Target="https://arxiv.org/abs/2609.09090" TargetMode="External"/><Relationship Id="rId121" Type="http://schemas.openxmlformats.org/officeDocument/2006/relationships/hyperlink" Target="https://arxiv.org/abs/2609.24967" TargetMode="External"/><Relationship Id="rId105"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1"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15" Type="http://schemas.openxmlformats.org/officeDocument/2006/relationships/hyperlink" Target="https://github.com/soham-padia/pre-sycophancy-study" TargetMode="External"/><Relationship Id="rId107" Type="http://schemas.openxmlformats.org/officeDocument/2006/relationships/hyperlink" Target="https://huggingface.co/Qwen/Qwen3-32B" TargetMode="External"/><Relationship Id="rId99" Type="http://schemas.openxmlformats.org/officeDocument/2006/relationships/hyperlink" Target="https://huggingface.co/openai/gpt-oss-20b" TargetMode="External"/><Relationship Id="rId103"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1" Type="http://schemas.openxmlformats.org/officeDocument/2006/relationships/hyperlink" Target="https://openrouter.ai/openai/gpt-6-luna-decisions" TargetMode="External"/><Relationship Id="rId95"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89"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7"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5" Type="http://schemas.openxmlformats.org/officeDocument/2006/relationships/hyperlink" Target="https://arxiv.org/abs/2410.00031" TargetMode="External"/><Relationship Id="rId79" Type="http://schemas.openxmlformats.org/officeDocument/2006/relationships/hyperlink" Target="https://arxiv.org/abs/2411.03343" TargetMode="External"/><Relationship Id="rId117"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29" Type="http://schemas.openxmlformats.org/officeDocument/2006/relationships/hyperlink" Target="https://arxiv.org/abs/2505.09388" TargetMode="External"/><Relationship Id="rId91"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7"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3"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3" Type="http://schemas.openxmlformats.org/officeDocument/2006/relationships/hyperlink" Target="https://arxiv.org/abs/2602.15198" TargetMode="External"/><Relationship Id="rId125" Type="http://schemas.openxmlformats.org/officeDocument/2006/relationships/hyperlink" Target="https://arxiv.org/abs/2603.13940" TargetMode="External"/><Relationship Id="rId111" Type="http://schemas.openxmlformats.org/officeDocument/2006/relationships/hyperlink" Target="https://arxiv.org/abs/2604.01151" TargetMode="External"/><Relationship Id="rId127" Type="http://schemas.openxmlformats.org/officeDocument/2006/relationships/hyperlink" Target="https://arxiv.org/abs/2604.16824" TargetMode="External"/><Relationship Id="rId133" Type="http://schemas.openxmlformats.org/officeDocument/2006/relationships/hyperlink" Target="https://arxiv.org/abs/2605.27593" TargetMode="External"/><Relationship Id="rId109" Type="http://schemas.openxmlformats.org/officeDocument/2006/relationships/hyperlink" Target="https://arxiv.org/abs/2605.29178" TargetMode="External"/><Relationship Id="rId81"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19" Type="http://schemas.openxmlformats.org/officeDocument/2006/relationships/hyperlink" Target="https://arxiv.org/abs/2607.05132" TargetMode="External"/><Relationship Id="rId113"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3" Type="http://schemas.openxmlformats.org/officeDocument/2006/relationships/hyperlink" Target="https://arxiv.org/abs/2609.09090" TargetMode="External"/><Relationship Id="rId121" Type="http://schemas.openxmlformats.org/officeDocument/2006/relationships/hyperlink" Target="https://arxiv.org/abs/2609.24967" TargetMode="External"/><Relationship Id="rId105"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1"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15" Type="http://schemas.openxmlformats.org/officeDocument/2006/relationships/hyperlink" Target="https://github.com/soham-padia/pre-sycophancy-study" TargetMode="External"/><Relationship Id="rId107" Type="http://schemas.openxmlformats.org/officeDocument/2006/relationships/hyperlink" Target="https://huggingface.co/Qwen/Qwen3-32B" TargetMode="External"/><Relationship Id="rId99" Type="http://schemas.openxmlformats.org/officeDocument/2006/relationships/hyperlink" Target="https://huggingface.co/openai/gpt-oss-20b" TargetMode="External"/><Relationship Id="rId103"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1" Type="http://schemas.openxmlformats.org/officeDocument/2006/relationships/hyperlink" Target="https://openrouter.ai/openai/gpt-6-luna-decisions" TargetMode="External"/><Relationship Id="rId95"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89"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7"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2026-10-26T03:34:55Z</dcterms:created>
  <dcterms:modified xsi:type="dcterms:W3CDTF">2026-10-26T03:34:55Z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