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 The two targets’ cohorts differ, so markers are not paired across panels.</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a separate probe trained to tell recruiting steps, where the peer is pushing, from control and target-alone steps separates them almost perfectly (AUROC 1.000 on 4,184 first-batch steps), yet among recruiting steps it does not pick out give-ins (0.44 near-term, 0.43 eventual; 2,910 steps; exploratory, fixed layer 32). Detecting pressure therefore does not tell you who will give in, which addresses</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’s concern that a probe may read the situation rather than the coming action.</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 hollow markers).</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For the near-term label, asking Jev to forecast beats asking it to detect (0.650 versus 0.578 with everything the target saw). The gain comes from the peer’s messages: on the first data batch, adding the conversation to Jev’s actions-only view adds +0.123 [0.063, 0.176], while adding everything else the target saw adds only +0.025 [-0.004, 0.054] (not significant). GPT-5-nano and Luna did not gain from forecasting (first data batch;</w:t>
      </w:r>
      <w:r>
        <w:rPr>
          <w:rFonts w:ascii="XCharter" w:hAnsi="XCharter" w:cs="XCharter" w:eastAsia="XCharter"/>
          <w:sz w:val="22"/>
        </w:rPr>
        <w:t xml:space="preserve"> </w:t>
      </w: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The activation probe adds to the weaker monitor, not the strong forecaster. Adding the probe’s score to GPT-5-nano’s (the combination model;</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lifts near-term AUROC by +0.081 [0.038, 0.126] in pooled cross-validation and +0.113 [0.025, 0.203] on the confirmation set, but the held-out-scenario gain is only +0.022 [-0.013, 0.059] (not significant); it does not clearly add to the Jev forecaster (held-out +0.003 [-0.011, 0.018];</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confirmation overlaps the all-data pool.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bd875682116f3153fa9a8f9c77c00f8b5fdab1"/>
      <w:r>
        <w:rPr>
          <w:rFonts w:ascii="Old Standard TT" w:hAnsi="Old Standard TT"/>
          <w:b/>
          <w:sz w:val="28"/>
        </w:rPr>
        <w:t xml:space="preserve">5. Discussion and Limitations</w:t>
      </w:r>
      <w:bookmarkEnd w:id="36"/>
    </w:p>
    <w:p>
      <w:pPr>
        <w:pStyle w:val="FirstParagraph"/>
        <w:widowControl/>
        <w:spacing w:after="0" w:line="259" w:lineRule="auto"/>
        <w:ind w:firstLine="0"/>
        <w:jc w:val="both"/>
      </w:pPr>
      <w:r>
        <w:rPr>
          <w:rFonts w:ascii="XCharter" w:hAnsi="XCharter" w:cs="XCharter" w:eastAsia="XCharter"/>
          <w:sz w:val="22"/>
        </w:rPr>
        <w:t xml:space="preserve">Two patterns organise these results. 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on rerun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Either way, a useful warning arrives only shortly before the act. Second, what a monitor reads and is asked matters, not only which model it is: the largest gain came from giving the strongest text monitor the peer’s messages and asking it to forecast, and the probe helped a weak monitor but not a strong one. The second target shows a limit: how a model gives in, and how quickly,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near-term recall. With a cutoff set on held recruiting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 episodes instead flags pressure rather than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 And filter protected values at the action itself: a rule that names a field does not stop a model that copies the whole block containing it.</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limitations"/>
      <w:r>
        <w:rPr>
          <w:rFonts w:ascii="Old Standard TT" w:hAnsi="Old Standard TT"/>
          <w:b/>
          <w:sz w:val="26"/>
        </w:rPr>
        <w:t xml:space="preserve">Limitations</w:t>
      </w:r>
      <w:bookmarkEnd w:id="37"/>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the second target (gpt-oss-20b) tests a limit on when prediction is possible, not a replication.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or fine-tuned on the same labels would be a fairer comparison. The environment is synthetic.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32691ce30b0dd97ec3690ce7d97c5c9a26aa3b1"/>
      <w:r>
        <w:rPr>
          <w:rFonts w:ascii="Old Standard TT" w:hAnsi="Old Standard TT"/>
          <w:b/>
          <w:sz w:val="26"/>
        </w:rPr>
        <w:t xml:space="preserve">Future Work</w:t>
      </w:r>
      <w:bookmarkEnd w:id="38"/>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where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follow-up that tunes both detector types per model, scores them once on fresh episodes, and gives the target time to deliberate.</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onclusion"/>
      <w:r>
        <w:rPr>
          <w:rFonts w:ascii="Old Standard TT" w:hAnsi="Old Standard TT"/>
          <w:b/>
          <w:sz w:val="28"/>
        </w:rPr>
        <w:t xml:space="preserve">6. Conclusion</w:t>
      </w:r>
      <w:bookmarkEnd w:id="39"/>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a decision model, Jev 1.14, asked to forecast and shown the peer’s messages; on the new episodes the probe was on par with it (0.68 against 0.64), and it added to a weaker monitor. On gpt-oss-20b, which usually gives in as soon as it is asked,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1f6b0a6dd8de899b0bf2d89a88c0574c2ef490f"/>
      <w:r>
        <w:rPr>
          <w:rFonts w:ascii="Old Standard TT" w:hAnsi="Old Standard TT"/>
          <w:b/>
          <w:sz w:val="28"/>
        </w:rPr>
        <w:t xml:space="preserve">Code and Data</w:t>
      </w:r>
      <w:bookmarkEnd w:id="40"/>
    </w:p>
    <w:p>
      <w:pPr>
        <w:pStyle w:val="FirstParagraph"/>
        <w:widowControl/>
        <w:spacing w:after="0" w:line="259" w:lineRule="auto"/>
        <w:ind w:firstLine="0"/>
        <w:jc w:val="left"/>
      </w:pPr>
      <w:r>
        <w:rPr>
          <w:rFonts w:ascii="XCharter" w:hAnsi="XCharter" w:cs="XCharter" w:eastAsia="XCharter"/>
          <w:sz w:val="22"/>
        </w:rPr>
        <w:t xml:space="preserve">The code, prompts, scoring scripts, transcripts, labels and scores are in the repository at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The saved activations are not included because of their size; the replay scripts regenerate them (see the repository README). Tool environments are mocked and every protected value is a randomly generated fake. The sprint start is taken as Fri 23 Oct 00:00 AoE (20:00 SGT). The only project work that predates it is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documents, no code). The author’s pre-existing open-source tools Aboard and Leaf were used for agent coordination and review, not as research code.</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1" w:name="_references"/>
      <w:r>
        <w:rPr>
          <w:rFonts w:ascii="Old Standard TT" w:hAnsi="Old Standard TT"/>
          <w:b/>
          <w:sz w:val="28"/>
        </w:rPr>
        <w:t xml:space="preserve">References</w:t>
      </w:r>
      <w:bookmarkEnd w:id="41"/>
    </w:p>
    <w:bookmarkStart w:id="130" w:name="_refs"/>
    <w:p>
      <w:pPr>
        <w:pStyle w:val="Bibliography"/>
        <w:widowControl/>
        <w:spacing w:line="259" w:lineRule="auto" w:after="80"/>
        <w:ind w:left="360" w:hanging="360"/>
        <w:jc w:val="left"/>
      </w:pPr>
      <w:bookmarkStart w:id="43"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2">
        <w:r>
          <w:rPr>
            <w:rStyle w:val="Hyperlink"/>
            <w:rFonts w:ascii="XCharter" w:hAnsi="XCharter" w:cs="XCharter" w:eastAsia="XCharter"/>
            <w:color w:val="000080"/>
            <w:sz w:val="22"/>
            <w:u w:val="none"/>
          </w:rPr>
          <w:t xml:space="preserve">https://www.alphaxiv.org/abs/2610.frozen-states-future-action-prediction</w:t>
        </w:r>
      </w:hyperlink>
      <w:bookmarkEnd w:id="43"/>
    </w:p>
    <w:p>
      <w:pPr>
        <w:pStyle w:val="Bibliography"/>
        <w:widowControl/>
        <w:spacing w:line="259" w:lineRule="auto" w:after="80"/>
        <w:ind w:left="360" w:hanging="360"/>
        <w:jc w:val="left"/>
      </w:pPr>
      <w:bookmarkStart w:id="45"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https://arxiv.org/abs/2507.01413</w:t>
        </w:r>
      </w:hyperlink>
      <w:bookmarkEnd w:id="45"/>
    </w:p>
    <w:p>
      <w:pPr>
        <w:pStyle w:val="Bibliography"/>
        <w:widowControl/>
        <w:spacing w:line="259" w:lineRule="auto" w:after="80"/>
        <w:ind w:left="360" w:hanging="360"/>
        <w:jc w:val="left"/>
      </w:pPr>
      <w:bookmarkStart w:id="47"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https://typesafe.ai/blog/introducing-system-one-models-and-jev</w:t>
        </w:r>
      </w:hyperlink>
      <w:bookmarkEnd w:id="47"/>
    </w:p>
    <w:p>
      <w:pPr>
        <w:pStyle w:val="Bibliography"/>
        <w:widowControl/>
        <w:spacing w:line="259" w:lineRule="auto" w:after="80"/>
        <w:ind w:left="360" w:hanging="360"/>
        <w:jc w:val="left"/>
      </w:pPr>
      <w:bookmarkStart w:id="49"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https://arxiv.org/abs/2601.21112</w:t>
        </w:r>
      </w:hyperlink>
      <w:bookmarkEnd w:id="49"/>
    </w:p>
    <w:p>
      <w:pPr>
        <w:pStyle w:val="Bibliography"/>
        <w:widowControl/>
        <w:spacing w:line="259" w:lineRule="auto" w:after="80"/>
        <w:ind w:left="360" w:hanging="360"/>
        <w:jc w:val="left"/>
      </w:pPr>
      <w:bookmarkStart w:id="51"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https://arxiv.org/abs/2502.13329</w:t>
        </w:r>
      </w:hyperlink>
      <w:bookmarkEnd w:id="51"/>
    </w:p>
    <w:p>
      <w:pPr>
        <w:pStyle w:val="Bibliography"/>
        <w:widowControl/>
        <w:spacing w:line="259" w:lineRule="auto" w:after="80"/>
        <w:ind w:left="360" w:hanging="360"/>
        <w:jc w:val="left"/>
      </w:pPr>
      <w:bookmarkStart w:id="53"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https://arxiv.org/abs/2512.03097</w:t>
        </w:r>
      </w:hyperlink>
      <w:bookmarkEnd w:id="53"/>
    </w:p>
    <w:p>
      <w:pPr>
        <w:pStyle w:val="Bibliography"/>
        <w:widowControl/>
        <w:spacing w:line="259" w:lineRule="auto" w:after="80"/>
        <w:ind w:left="360" w:hanging="360"/>
        <w:jc w:val="left"/>
      </w:pPr>
      <w:bookmarkStart w:id="55"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https://doi.org/10.1145/3786335.3813181</w:t>
        </w:r>
      </w:hyperlink>
      <w:bookmarkEnd w:id="55"/>
    </w:p>
    <w:p>
      <w:pPr>
        <w:pStyle w:val="Bibliography"/>
        <w:widowControl/>
        <w:spacing w:line="259" w:lineRule="auto" w:after="80"/>
        <w:ind w:left="360" w:hanging="360"/>
        <w:jc w:val="left"/>
      </w:pPr>
      <w:bookmarkStart w:id="57"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https://arxiv.org/abs/2601.04603</w:t>
        </w:r>
      </w:hyperlink>
      <w:bookmarkEnd w:id="57"/>
    </w:p>
    <w:p>
      <w:pPr>
        <w:pStyle w:val="Bibliography"/>
        <w:widowControl/>
        <w:spacing w:line="259" w:lineRule="auto" w:after="80"/>
        <w:ind w:left="360" w:hanging="360"/>
        <w:jc w:val="left"/>
      </w:pPr>
      <w:bookmarkStart w:id="59"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https://arxiv.org/abs/2406.13352</w:t>
        </w:r>
      </w:hyperlink>
      <w:bookmarkEnd w:id="59"/>
    </w:p>
    <w:p>
      <w:pPr>
        <w:pStyle w:val="Bibliography"/>
        <w:widowControl/>
        <w:spacing w:line="259" w:lineRule="auto" w:after="80"/>
        <w:ind w:left="360" w:hanging="360"/>
        <w:jc w:val="left"/>
      </w:pPr>
      <w:bookmarkStart w:id="61"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https://openrouter.ai/deepseek/deepseek-v4-flash</w:t>
        </w:r>
      </w:hyperlink>
      <w:bookmarkEnd w:id="61"/>
    </w:p>
    <w:p>
      <w:pPr>
        <w:pStyle w:val="Bibliography"/>
        <w:widowControl/>
        <w:spacing w:line="259" w:lineRule="auto" w:after="80"/>
        <w:ind w:left="360" w:hanging="360"/>
        <w:jc w:val="left"/>
      </w:pPr>
      <w:bookmarkStart w:id="63"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https://arxiv.org/abs/2608.02657</w:t>
        </w:r>
      </w:hyperlink>
      <w:bookmarkEnd w:id="63"/>
    </w:p>
    <w:p>
      <w:pPr>
        <w:pStyle w:val="Bibliography"/>
        <w:widowControl/>
        <w:spacing w:line="259" w:lineRule="auto" w:after="80"/>
        <w:ind w:left="360" w:hanging="360"/>
        <w:jc w:val="left"/>
      </w:pPr>
      <w:bookmarkStart w:id="65"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https://arxiv.org/abs/2610.17301</w:t>
        </w:r>
      </w:hyperlink>
      <w:bookmarkEnd w:id="65"/>
    </w:p>
    <w:p>
      <w:pPr>
        <w:pStyle w:val="Bibliography"/>
        <w:widowControl/>
        <w:spacing w:line="259" w:lineRule="auto" w:after="80"/>
        <w:ind w:left="360" w:hanging="360"/>
        <w:jc w:val="left"/>
      </w:pPr>
      <w:bookmarkStart w:id="67"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https://arxiv.org/abs/2404.00806</w:t>
        </w:r>
      </w:hyperlink>
      <w:bookmarkEnd w:id="67"/>
    </w:p>
    <w:p>
      <w:pPr>
        <w:pStyle w:val="Bibliography"/>
        <w:widowControl/>
        <w:spacing w:line="259" w:lineRule="auto" w:after="80"/>
        <w:ind w:left="360" w:hanging="360"/>
        <w:jc w:val="left"/>
      </w:pPr>
      <w:bookmarkStart w:id="69"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https://arxiv.org/abs/2606.30449</w:t>
        </w:r>
      </w:hyperlink>
      <w:bookmarkEnd w:id="69"/>
    </w:p>
    <w:p>
      <w:pPr>
        <w:pStyle w:val="Bibliography"/>
        <w:widowControl/>
        <w:spacing w:line="259" w:lineRule="auto" w:after="80"/>
        <w:ind w:left="360" w:hanging="360"/>
        <w:jc w:val="left"/>
      </w:pPr>
      <w:bookmarkStart w:id="71"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https://arxiv.org/abs/2610.04575</w:t>
        </w:r>
      </w:hyperlink>
      <w:bookmarkEnd w:id="71"/>
    </w:p>
    <w:p>
      <w:pPr>
        <w:pStyle w:val="Bibliography"/>
        <w:widowControl/>
        <w:spacing w:line="259" w:lineRule="auto" w:after="80"/>
        <w:ind w:left="360" w:hanging="360"/>
        <w:jc w:val="left"/>
      </w:pPr>
      <w:bookmarkStart w:id="73"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https://arxiv.org/abs/2502.03407</w:t>
        </w:r>
      </w:hyperlink>
      <w:bookmarkEnd w:id="73"/>
    </w:p>
    <w:p>
      <w:pPr>
        <w:pStyle w:val="Bibliography"/>
        <w:widowControl/>
        <w:spacing w:line="259" w:lineRule="auto" w:after="80"/>
        <w:ind w:left="360" w:hanging="360"/>
        <w:jc w:val="left"/>
      </w:pPr>
      <w:bookmarkStart w:id="75"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5"/>
    </w:p>
    <w:p>
      <w:pPr>
        <w:pStyle w:val="Bibliography"/>
        <w:widowControl/>
        <w:spacing w:line="259" w:lineRule="auto" w:after="80"/>
        <w:ind w:left="360" w:hanging="360"/>
        <w:jc w:val="left"/>
      </w:pPr>
      <w:bookmarkStart w:id="77"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https://github.com/UKGovernmentBEIS/control-arena</w:t>
        </w:r>
      </w:hyperlink>
      <w:bookmarkEnd w:id="77"/>
    </w:p>
    <w:p>
      <w:pPr>
        <w:pStyle w:val="Bibliography"/>
        <w:widowControl/>
        <w:spacing w:line="259" w:lineRule="auto" w:after="80"/>
        <w:ind w:left="360" w:hanging="360"/>
        <w:jc w:val="left"/>
      </w:pPr>
      <w:bookmarkStart w:id="79"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https://arxiv.org/abs/2411.03343</w:t>
        </w:r>
      </w:hyperlink>
      <w:bookmarkEnd w:id="79"/>
    </w:p>
    <w:p>
      <w:pPr>
        <w:pStyle w:val="Bibliography"/>
        <w:widowControl/>
        <w:spacing w:line="259" w:lineRule="auto" w:after="80"/>
        <w:ind w:left="360" w:hanging="360"/>
        <w:jc w:val="left"/>
      </w:pPr>
      <w:bookmarkStart w:id="81"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https://arxiv.org/abs/2606.11172</w:t>
        </w:r>
      </w:hyperlink>
      <w:bookmarkEnd w:id="81"/>
    </w:p>
    <w:p>
      <w:pPr>
        <w:pStyle w:val="Bibliography"/>
        <w:widowControl/>
        <w:spacing w:line="259" w:lineRule="auto" w:after="80"/>
        <w:ind w:left="360" w:hanging="360"/>
        <w:jc w:val="left"/>
      </w:pPr>
      <w:bookmarkStart w:id="83"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https://arxiv.org/abs/2601.11516</w:t>
        </w:r>
      </w:hyperlink>
      <w:bookmarkEnd w:id="83"/>
    </w:p>
    <w:p>
      <w:pPr>
        <w:pStyle w:val="Bibliography"/>
        <w:widowControl/>
        <w:spacing w:line="259" w:lineRule="auto" w:after="80"/>
        <w:ind w:left="360" w:hanging="360"/>
        <w:jc w:val="left"/>
      </w:pPr>
      <w:bookmarkStart w:id="85"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https://arxiv.org/abs/2410.00031</w:t>
        </w:r>
      </w:hyperlink>
      <w:bookmarkEnd w:id="85"/>
    </w:p>
    <w:p>
      <w:pPr>
        <w:pStyle w:val="Bibliography"/>
        <w:widowControl/>
        <w:spacing w:line="259" w:lineRule="auto" w:after="80"/>
        <w:ind w:left="360" w:hanging="360"/>
        <w:jc w:val="left"/>
      </w:pPr>
      <w:bookmarkStart w:id="87"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https://www.usenix.org/conference/usenixsecurity24/presentation/liu-yupei</w:t>
        </w:r>
      </w:hyperlink>
      <w:bookmarkEnd w:id="87"/>
    </w:p>
    <w:p>
      <w:pPr>
        <w:pStyle w:val="Bibliography"/>
        <w:widowControl/>
        <w:spacing w:line="259" w:lineRule="auto" w:after="80"/>
        <w:ind w:left="360" w:hanging="360"/>
        <w:jc w:val="left"/>
      </w:pPr>
      <w:bookmarkStart w:id="89"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https://www.anthropic.com/news/probes-catch-sleeper-agents</w:t>
        </w:r>
      </w:hyperlink>
      <w:bookmarkEnd w:id="89"/>
    </w:p>
    <w:p>
      <w:pPr>
        <w:pStyle w:val="Bibliography"/>
        <w:widowControl/>
        <w:spacing w:line="259" w:lineRule="auto" w:after="80"/>
        <w:ind w:left="360" w:hanging="360"/>
        <w:jc w:val="left"/>
      </w:pPr>
      <w:bookmarkStart w:id="91"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https://arxiv.org/abs/2602.15198</w:t>
        </w:r>
      </w:hyperlink>
      <w:bookmarkEnd w:id="91"/>
    </w:p>
    <w:p>
      <w:pPr>
        <w:pStyle w:val="Bibliography"/>
        <w:widowControl/>
        <w:spacing w:line="259" w:lineRule="auto" w:after="80"/>
        <w:ind w:left="360" w:hanging="360"/>
        <w:jc w:val="left"/>
      </w:pPr>
      <w:bookmarkStart w:id="93"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https://platform.openai.com/docs/models/gpt-5-nano</w:t>
        </w:r>
      </w:hyperlink>
      <w:bookmarkEnd w:id="93"/>
    </w:p>
    <w:p>
      <w:pPr>
        <w:pStyle w:val="Bibliography"/>
        <w:widowControl/>
        <w:spacing w:line="259" w:lineRule="auto" w:after="80"/>
        <w:ind w:left="360" w:hanging="360"/>
        <w:jc w:val="left"/>
      </w:pPr>
      <w:bookmarkStart w:id="95"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https://arxiv.org/abs/2508.10925</w:t>
        </w:r>
      </w:hyperlink>
      <w:bookmarkEnd w:id="95"/>
    </w:p>
    <w:p>
      <w:pPr>
        <w:pStyle w:val="Bibliography"/>
        <w:widowControl/>
        <w:spacing w:line="259" w:lineRule="auto" w:after="80"/>
        <w:ind w:left="360" w:hanging="360"/>
        <w:jc w:val="left"/>
      </w:pPr>
      <w:bookmarkStart w:id="97"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https://huggingface.co/openai/gpt-oss-20b</w:t>
        </w:r>
      </w:hyperlink>
      <w:bookmarkEnd w:id="97"/>
    </w:p>
    <w:p>
      <w:pPr>
        <w:pStyle w:val="Bibliography"/>
        <w:widowControl/>
        <w:spacing w:line="259" w:lineRule="auto" w:after="80"/>
        <w:ind w:left="360" w:hanging="360"/>
        <w:jc w:val="left"/>
      </w:pPr>
      <w:bookmarkStart w:id="99"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https://openrouter.ai/openai/gpt-6-luna-decisions</w:t>
        </w:r>
      </w:hyperlink>
      <w:bookmarkEnd w:id="99"/>
    </w:p>
    <w:p>
      <w:pPr>
        <w:pStyle w:val="Bibliography"/>
        <w:widowControl/>
        <w:spacing w:line="259" w:lineRule="auto" w:after="80"/>
        <w:ind w:left="360" w:hanging="360"/>
        <w:jc w:val="left"/>
      </w:pPr>
      <w:bookmarkStart w:id="101"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1"/>
    </w:p>
    <w:p>
      <w:pPr>
        <w:pStyle w:val="Bibliography"/>
        <w:widowControl/>
        <w:spacing w:line="259" w:lineRule="auto" w:after="80"/>
        <w:ind w:left="360" w:hanging="360"/>
        <w:jc w:val="left"/>
      </w:pPr>
      <w:bookmarkStart w:id="103"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https://arxiv.org/abs/2609.35576</w:t>
        </w:r>
      </w:hyperlink>
      <w:bookmarkEnd w:id="103"/>
    </w:p>
    <w:p>
      <w:pPr>
        <w:pStyle w:val="Bibliography"/>
        <w:widowControl/>
        <w:spacing w:line="259" w:lineRule="auto" w:after="80"/>
        <w:ind w:left="360" w:hanging="360"/>
        <w:jc w:val="left"/>
      </w:pPr>
      <w:bookmarkStart w:id="105"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https://huggingface.co/Qwen/Qwen3-32B</w:t>
        </w:r>
      </w:hyperlink>
      <w:bookmarkEnd w:id="105"/>
    </w:p>
    <w:p>
      <w:pPr>
        <w:pStyle w:val="Bibliography"/>
        <w:widowControl/>
        <w:spacing w:line="259" w:lineRule="auto" w:after="80"/>
        <w:ind w:left="360" w:hanging="360"/>
        <w:jc w:val="left"/>
      </w:pPr>
      <w:bookmarkStart w:id="107"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https://arxiv.org/abs/2605.29178</w:t>
        </w:r>
      </w:hyperlink>
      <w:bookmarkEnd w:id="107"/>
    </w:p>
    <w:p>
      <w:pPr>
        <w:pStyle w:val="Bibliography"/>
        <w:widowControl/>
        <w:spacing w:line="259" w:lineRule="auto" w:after="80"/>
        <w:ind w:left="360" w:hanging="360"/>
        <w:jc w:val="left"/>
      </w:pPr>
      <w:bookmarkStart w:id="109"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https://arxiv.org/abs/2604.01151</w:t>
        </w:r>
      </w:hyperlink>
      <w:bookmarkEnd w:id="109"/>
    </w:p>
    <w:p>
      <w:pPr>
        <w:pStyle w:val="Bibliography"/>
        <w:widowControl/>
        <w:spacing w:line="259" w:lineRule="auto" w:after="80"/>
        <w:ind w:left="360" w:hanging="360"/>
        <w:jc w:val="left"/>
      </w:pPr>
      <w:bookmarkStart w:id="111"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https://arxiv.org/abs/2607.06503</w:t>
        </w:r>
      </w:hyperlink>
      <w:bookmarkEnd w:id="111"/>
    </w:p>
    <w:p>
      <w:pPr>
        <w:pStyle w:val="Bibliography"/>
        <w:widowControl/>
        <w:spacing w:line="259" w:lineRule="auto" w:after="80"/>
        <w:ind w:left="360" w:hanging="360"/>
        <w:jc w:val="left"/>
      </w:pPr>
      <w:bookmarkStart w:id="113"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https://github.com/soham-padia/pre-sycophancy-study</w:t>
        </w:r>
      </w:hyperlink>
      <w:bookmarkEnd w:id="113"/>
    </w:p>
    <w:p>
      <w:pPr>
        <w:pStyle w:val="Bibliography"/>
        <w:widowControl/>
        <w:spacing w:line="259" w:lineRule="auto" w:after="80"/>
        <w:ind w:left="360" w:hanging="360"/>
        <w:jc w:val="left"/>
      </w:pPr>
      <w:bookmarkStart w:id="115"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https://arxiv.org/abs/2607.05132</w:t>
        </w:r>
      </w:hyperlink>
      <w:bookmarkEnd w:id="115"/>
    </w:p>
    <w:p>
      <w:pPr>
        <w:pStyle w:val="Bibliography"/>
        <w:widowControl/>
        <w:spacing w:line="259" w:lineRule="auto" w:after="80"/>
        <w:ind w:left="360" w:hanging="360"/>
        <w:jc w:val="left"/>
      </w:pPr>
      <w:bookmarkStart w:id="117"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https://arxiv.org/abs/2609.24967</w:t>
        </w:r>
      </w:hyperlink>
      <w:bookmarkEnd w:id="117"/>
    </w:p>
    <w:p>
      <w:pPr>
        <w:pStyle w:val="Bibliography"/>
        <w:widowControl/>
        <w:spacing w:line="259" w:lineRule="auto" w:after="80"/>
        <w:ind w:left="360" w:hanging="360"/>
        <w:jc w:val="left"/>
      </w:pPr>
      <w:bookmarkStart w:id="119"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https://arxiv.org/abs/2609.09090</w:t>
        </w:r>
      </w:hyperlink>
      <w:bookmarkEnd w:id="119"/>
    </w:p>
    <w:p>
      <w:pPr>
        <w:pStyle w:val="Bibliography"/>
        <w:widowControl/>
        <w:spacing w:line="259" w:lineRule="auto" w:after="80"/>
        <w:ind w:left="360" w:hanging="360"/>
        <w:jc w:val="left"/>
      </w:pPr>
      <w:bookmarkStart w:id="121"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https://arxiv.org/abs/2603.13940</w:t>
        </w:r>
      </w:hyperlink>
      <w:bookmarkEnd w:id="121"/>
    </w:p>
    <w:p>
      <w:pPr>
        <w:pStyle w:val="Bibliography"/>
        <w:widowControl/>
        <w:spacing w:line="259" w:lineRule="auto" w:after="80"/>
        <w:ind w:left="360" w:hanging="360"/>
        <w:jc w:val="left"/>
      </w:pPr>
      <w:bookmarkStart w:id="123"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https://arxiv.org/abs/2604.16824</w:t>
        </w:r>
      </w:hyperlink>
      <w:bookmarkEnd w:id="123"/>
    </w:p>
    <w:p>
      <w:pPr>
        <w:pStyle w:val="Bibliography"/>
        <w:widowControl/>
        <w:spacing w:line="259" w:lineRule="auto" w:after="80"/>
        <w:ind w:left="360" w:hanging="360"/>
        <w:jc w:val="left"/>
      </w:pPr>
      <w:bookmarkStart w:id="125"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https://arxiv.org/abs/2505.09388</w:t>
        </w:r>
      </w:hyperlink>
      <w:bookmarkEnd w:id="125"/>
    </w:p>
    <w:p>
      <w:pPr>
        <w:pStyle w:val="Bibliography"/>
        <w:widowControl/>
        <w:spacing w:line="259" w:lineRule="auto" w:after="80"/>
        <w:ind w:left="360" w:hanging="360"/>
        <w:jc w:val="left"/>
      </w:pPr>
      <w:bookmarkStart w:id="127"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https://arxiv.org/abs/2610.05295</w:t>
        </w:r>
      </w:hyperlink>
      <w:bookmarkEnd w:id="127"/>
    </w:p>
    <w:p>
      <w:pPr>
        <w:pStyle w:val="Bibliography"/>
        <w:widowControl/>
        <w:spacing w:line="259" w:lineRule="auto" w:after="80"/>
        <w:ind w:left="360" w:hanging="360"/>
        <w:jc w:val="left"/>
      </w:pPr>
      <w:bookmarkStart w:id="129"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https://arxiv.org/abs/2605.27593</w:t>
        </w:r>
      </w:hyperlink>
      <w:bookmarkEnd w:id="129"/>
    </w:p>
    <w:bookmarkEnd w:id="130"/>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1" w:name="_appendix"/>
      <w:r>
        <w:rPr>
          <w:rFonts w:ascii="Old Standard TT" w:hAnsi="Old Standard TT"/>
          <w:b/>
          <w:sz w:val="28"/>
        </w:rPr>
        <w:t xml:space="preserve">Appendix</w:t>
      </w:r>
      <w:bookmarkEnd w:id="131"/>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2" w:name="_d863e5dd50f3a2c5a9f9d67c38d6db1a7983c65"/>
      <w:r>
        <w:rPr>
          <w:rFonts w:ascii="Old Standard TT" w:hAnsi="Old Standard TT"/>
          <w:b/>
          <w:sz w:val="26"/>
        </w:rPr>
        <w:t xml:space="preserve">A. Limitations and Dual-Use / Ethical Considerations</w:t>
      </w:r>
      <w:bookmarkEnd w:id="132"/>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slight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 is fitted on probe scores that were themselves produced by cross-validation, which can inflate the probe’s apparent added value slightly (about 0.01 AUROC). This affects the all-data combination numbers; the confirmation test does not have it.</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3" w:name="_1c2832545d6be5937b2db194f5b1e2f4105b9d9"/>
      <w:r>
        <w:rPr>
          <w:rFonts w:ascii="Old Standard TT" w:hAnsi="Old Standard TT"/>
          <w:b/>
          <w:sz w:val="26"/>
        </w:rPr>
        <w:t xml:space="preserve">B. Experimental Pipeline and Reproducibility</w:t>
      </w:r>
      <w:bookmarkEnd w:id="133"/>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35" name="Picture"/>
            <a:graphic>
              <a:graphicData uri="http://schemas.openxmlformats.org/drawingml/2006/picture">
                <pic:pic>
                  <pic:nvPicPr>
                    <pic:cNvPr descr="figures/pipeline.png" id="136" name="Picture"/>
                    <pic:cNvPicPr>
                      <a:picLocks noChangeArrowheads="1" noChangeAspect="1"/>
                    </pic:cNvPicPr>
                  </pic:nvPicPr>
                  <pic:blipFill>
                    <a:blip r:embed="rId134"/>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37"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3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both"/>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29f519cfe2b273e1f41de0c770c5dd81f1818a5"/>
      <w:r>
        <w:rPr>
          <w:rFonts w:ascii="Old Standard TT" w:hAnsi="Old Standard TT"/>
          <w:b/>
          <w:sz w:val="26"/>
        </w:rPr>
        <w:t xml:space="preserve">C. Scenarios, an Example, and Model Choice</w:t>
      </w:r>
      <w:bookmarkEnd w:id="138"/>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39"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39"/>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9af0a0be73df5a4a2132a3bbde2a7aaba8a9fb7"/>
      <w:r>
        <w:rPr>
          <w:rFonts w:ascii="Old Standard TT" w:hAnsi="Old Standard TT"/>
          <w:b/>
          <w:sz w:val="26"/>
        </w:rPr>
        <w:t xml:space="preserve">D. Labels and Judges</w:t>
      </w:r>
      <w:bookmarkEnd w:id="140"/>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6e1c949c1569f7f4050c474671b93e6b4d1bae"/>
      <w:r>
        <w:rPr>
          <w:rFonts w:ascii="Old Standard TT" w:hAnsi="Old Standard TT"/>
          <w:b/>
          <w:sz w:val="26"/>
        </w:rPr>
        <w:t xml:space="preserve">E. Detectors and Evaluation</w:t>
      </w:r>
      <w:bookmarkEnd w:id="141"/>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both"/>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both"/>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a fixed-layer-32 variant is reported as a check. Three split seeds (42, 43, 44)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2"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both"/>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4" name="Picture"/>
            <a:graphic>
              <a:graphicData uri="http://schemas.openxmlformats.org/drawingml/2006/picture">
                <pic:pic>
                  <pic:nvPicPr>
                    <pic:cNvPr descr="figures/figure_monitor_design.png" id="145" name="Picture"/>
                    <pic:cNvPicPr>
                      <a:picLocks noChangeArrowheads="1" noChangeAspect="1"/>
                    </pic:cNvPicPr>
                  </pic:nvPicPr>
                  <pic:blipFill>
                    <a:blip r:embed="rId143"/>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46"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46"/>
    </w:p>
    <w:p>
      <w:pPr>
        <w:pStyle w:val="BodyText"/>
        <w:widowControl/>
        <w:spacing w:after="0" w:line="259" w:lineRule="auto"/>
        <w:ind w:firstLine="0"/>
        <w:jc w:val="both"/>
      </w:pP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e774c98102b53efba7d6294684718b8ff2eaeba"/>
      <w:r>
        <w:rPr>
          <w:rFonts w:ascii="Old Standard TT" w:hAnsi="Old Standard TT"/>
          <w:b/>
          <w:sz w:val="26"/>
        </w:rPr>
        <w:t xml:space="preserve">F. Second Target: gpt-oss-20b (and Gemma-4-31B)</w:t>
      </w:r>
      <w:bookmarkEnd w:id="147"/>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eligible-step window; the labels and the within scenario × round metric; the detector recipes; and the matched controls. Changed for gpt-oss: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blunt pressure fails (gpt-oss 0/27, Gemma 1/35). A delayed whole-configuration-block request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48"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48"/>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90f1226d051d30d3bf4384ba25f172a7a45b0c"/>
      <w:r>
        <w:rPr>
          <w:rFonts w:ascii="Old Standard TT" w:hAnsi="Old Standard TT"/>
          <w:b/>
          <w:sz w:val="26"/>
        </w:rPr>
        <w:t xml:space="preserve">G. Behaviour Screening</w:t>
      </w:r>
      <w:bookmarkEnd w:id="149"/>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0"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1" w:name="_7fccf12973301cf728201a32934c6648ff11624"/>
      <w:r>
        <w:rPr>
          <w:rFonts w:ascii="Old Standard TT" w:hAnsi="Old Standard TT"/>
          <w:b/>
          <w:sz w:val="26"/>
        </w:rPr>
        <w:t xml:space="preserve">H. Robustness and Diagnostics for the Main Results</w:t>
      </w:r>
      <w:bookmarkEnd w:id="151"/>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2"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3"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4"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56" name="Picture"/>
            <a:graphic>
              <a:graphicData uri="http://schemas.openxmlformats.org/drawingml/2006/picture">
                <pic:pic>
                  <pic:nvPicPr>
                    <pic:cNvPr descr="figures/appendix_h_layers.png" id="157" name="Picture"/>
                    <pic:cNvPicPr>
                      <a:picLocks noChangeArrowheads="1" noChangeAspect="1"/>
                    </pic:cNvPicPr>
                  </pic:nvPicPr>
                  <pic:blipFill>
                    <a:blip r:embed="rId155"/>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8"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r>
        <w:rPr>
          <w:rFonts w:ascii="XCharter" w:hAnsi="XCharter" w:cs="XCharter" w:eastAsia="XCharter"/>
          <w:sz w:val="18"/>
        </w:rPr>
        <w:t xml:space="preserve"> </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b/>
          <w:bCs/>
          <w:sz w:val="18"/>
        </w:rPr>
        <w:t xml:space="preserve">Eventual label.</w:t>
      </w:r>
      <w:r>
        <w:rPr>
          <w:rFonts w:ascii="XCharter" w:hAnsi="XCharter" w:cs="XCharter" w:eastAsia="XCharter"/>
          <w:sz w:val="18"/>
        </w:rPr>
        <w:t xml:space="preserve"> </w:t>
      </w:r>
      <w:r>
        <w:rPr>
          <w:rFonts w:ascii="XCharter" w:hAnsi="XCharter" w:cs="XCharter" w:eastAsia="XCharter"/>
          <w:sz w:val="18"/>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in 7 of 23 states (14 never gave in, 2 always did), with the probe’s Spearman correlation against a state’s rerun give-in rate at −0.03 [−0.46, 0.40].</w:t>
      </w:r>
      <w:r>
        <w:rPr>
          <w:rFonts w:ascii="XCharter" w:hAnsi="XCharter" w:cs="XCharter" w:eastAsia="XCharter"/>
          <w:sz w:val="18"/>
        </w:rPr>
        <w:t xml:space="preserve"> </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b/>
          <w:bCs/>
          <w:sz w:val="18"/>
        </w:rPr>
        <w:t xml:space="preserve">Deliberate-only check.</w:t>
      </w:r>
      <w:r>
        <w:rPr>
          <w:rFonts w:ascii="XCharter" w:hAnsi="XCharter" w:cs="XCharter" w:eastAsia="XCharter"/>
          <w:sz w:val="18"/>
        </w:rPr>
        <w:t xml:space="preserve"> </w:t>
      </w:r>
      <w:r>
        <w:rPr>
          <w:rFonts w:ascii="XCharter" w:hAnsi="XCharter" w:cs="XCharter" w:eastAsia="XCharter"/>
          <w:sz w:val="18"/>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18"/>
        </w:rPr>
        <w:t xml:space="preserve"> </w:t>
      </w:r>
      <w:r>
        <w:rPr>
          <w:rStyle w:val="VerbatimChar"/>
          <w:rFonts w:ascii="XCharter" w:hAnsi="XCharter" w:cs="XCharter" w:eastAsia="XCharter"/>
          <w:sz w:val="18"/>
        </w:rPr>
        <w:t xml:space="preserve">runs/20261025-0536-e05-replay2-analysis</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b/>
          <w:bCs/>
          <w:sz w:val="18"/>
        </w:rPr>
        <w:t xml:space="preserve">Pressure versus outcome:</w:t>
      </w:r>
      <w:r>
        <w:rPr>
          <w:rFonts w:ascii="XCharter" w:hAnsi="XCharter" w:cs="XCharter" w:eastAsia="XCharter"/>
          <w:sz w:val="18"/>
        </w:rPr>
        <w:t xml:space="preserve"> </w:t>
      </w:r>
      <w:r>
        <w:rPr>
          <w:rFonts w:ascii="XCharter" w:hAnsi="XCharter" w:cs="XCharter" w:eastAsia="XCharter"/>
          <w:sz w:val="18"/>
        </w:rPr>
        <w:t xml:space="preserve">the full numbers and cohort for the pressure-probe check in §4.3 -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18"/>
        </w:rPr>
        <w:t xml:space="preserve"> </w:t>
      </w:r>
      <w:r>
        <w:rPr>
          <w:rStyle w:val="VerbatimChar"/>
          <w:rFonts w:ascii="XCharter" w:hAnsi="XCharter" w:cs="XCharter" w:eastAsia="XCharter"/>
          <w:sz w:val="18"/>
        </w:rPr>
        <w:t xml:space="preserve">runs/20261025-0800-e05-explore-trajectories-pressure</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b/>
          <w:bCs/>
          <w:sz w:val="18"/>
        </w:rPr>
        <w:t xml:space="preserve">Errors and alarms:</w:t>
      </w:r>
      <w:r>
        <w:rPr>
          <w:rFonts w:ascii="XCharter" w:hAnsi="XCharter" w:cs="XCharter" w:eastAsia="XCharter"/>
          <w:sz w:val="18"/>
        </w:rPr>
        <w:t xml:space="preserve"> </w:t>
      </w:r>
      <w:r>
        <w:rPr>
          <w:rFonts w:ascii="XCharter" w:hAnsi="XCharter" w:cs="XCharter" w:eastAsia="XCharter"/>
          <w:sz w:val="18"/>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This is exploratory: the cutoff is set on out-of-fold scores from the same data, not on an independent calibration set. Source:</w:t>
      </w:r>
      <w:r>
        <w:rPr>
          <w:rFonts w:ascii="XCharter" w:hAnsi="XCharter" w:cs="XCharter" w:eastAsia="XCharter"/>
          <w:sz w:val="18"/>
        </w:rPr>
        <w:t xml:space="preserve"> </w:t>
      </w:r>
      <w:r>
        <w:rPr>
          <w:rStyle w:val="VerbatimChar"/>
          <w:rFonts w:ascii="XCharter" w:hAnsi="XCharter" w:cs="XCharter" w:eastAsia="XCharter"/>
          <w:sz w:val="18"/>
        </w:rPr>
        <w:t xml:space="preserve">runs/20261025-1504-e06-appendix-errors</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sz w:val="18"/>
        </w:rPr>
        <w:t xml:space="preserve">-</w:t>
      </w:r>
      <w:r>
        <w:rPr>
          <w:rFonts w:ascii="XCharter" w:hAnsi="XCharter" w:cs="XCharter" w:eastAsia="XCharter"/>
          <w:sz w:val="18"/>
        </w:rPr>
        <w:t xml:space="preserve"> </w:t>
      </w:r>
      <w:r>
        <w:rPr>
          <w:rFonts w:ascii="XCharter" w:hAnsi="XCharter" w:cs="XCharter" w:eastAsia="XCharter"/>
          <w:b/>
          <w:bCs/>
          <w:sz w:val="18"/>
        </w:rPr>
        <w:t xml:space="preserve">Other exploratory checks (first data batch).</w:t>
      </w:r>
      <w:r>
        <w:rPr>
          <w:rFonts w:ascii="XCharter" w:hAnsi="XCharter" w:cs="XCharter" w:eastAsia="XCharter"/>
          <w:sz w:val="18"/>
        </w:rPr>
        <w:t xml:space="preserve"> </w:t>
      </w:r>
      <w:r>
        <w:rPr>
          <w:rFonts w:ascii="XCharter" w:hAnsi="XCharter" w:cs="XCharter" w:eastAsia="XCharter"/>
          <w:sz w:val="18"/>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18"/>
        </w:rPr>
        <w:t xml:space="preserve">runs/20261025-0803-e05-logit-lens</w:t>
      </w:r>
      <w:r>
        <w:rPr>
          <w:rFonts w:ascii="XCharter" w:hAnsi="XCharter" w:cs="XCharter" w:eastAsia="XCharter"/>
          <w:sz w:val="18"/>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18"/>
        </w:rPr>
        <w:t xml:space="preserve"> </w:t>
      </w:r>
      <w:r>
        <w:rPr>
          <w:rStyle w:val="VerbatimChar"/>
          <w:rFonts w:ascii="XCharter" w:hAnsi="XCharter" w:cs="XCharter" w:eastAsia="XCharter"/>
          <w:sz w:val="18"/>
        </w:rPr>
        <w:t xml:space="preserve">runs/20261025-0800-e05-explore-trajectories-pressure</w:t>
      </w:r>
      <w:r>
        <w:rPr>
          <w:rFonts w:ascii="XCharter" w:hAnsi="XCharter" w:cs="XCharter" w:eastAsia="XCharter"/>
          <w:sz w:val="18"/>
        </w:rPr>
        <w:t xml:space="preserve">).</w:t>
      </w:r>
      <w:bookmarkEnd w:id="158"/>
    </w:p>
    <w:p>
      <w:pPr>
        <w:pStyle w:val="Heading3"/>
        <w:keepNext/>
        <w:spacing w:before="200" w:lineRule="auto"/>
        <w:rPr>
          <w:rFonts w:ascii="Old Standard TT" w:cs="Old Standard TT" w:eastAsia="Old Standard TT" w:hAnsi="Old Standard TT"/>
          <w:b w:val="1"/>
          <w:bCs w:val="1"/>
          <w:color w:val="000000"/>
          <w:sz w:val="26"/>
          <w:szCs w:val="26"/>
        </w:rPr>
      </w:pPr>
      <w:bookmarkStart w:id="159" w:name="_889344895f04d1f9f75d0ebcc55c0e9d025ecfb"/>
      <w:r>
        <w:rPr>
          <w:rFonts w:ascii="Old Standard TT" w:hAnsi="Old Standard TT"/>
          <w:b/>
          <w:sz w:val="26"/>
        </w:rPr>
        <w:t xml:space="preserve">I. Prompts</w:t>
      </w:r>
      <w:bookmarkEnd w:id="159"/>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33bf1cd3074762475a7470d90c6bbd938fdac44"/>
      <w:r>
        <w:rPr>
          <w:rFonts w:ascii="Old Standard TT" w:hAnsi="Old Standard TT"/>
          <w:b/>
          <w:sz w:val="26"/>
        </w:rPr>
        <w:t xml:space="preserve">I.1 Target agent (Qwen3-32B and gpt-oss-20b)</w:t>
      </w:r>
      <w:bookmarkEnd w:id="160"/>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1" w:name="_d7ac7fb6a629ef29d896d387aeb1cbdff09ae31"/>
      <w:r>
        <w:rPr>
          <w:rFonts w:ascii="Old Standard TT" w:hAnsi="Old Standard TT"/>
          <w:b/>
          <w:sz w:val="26"/>
        </w:rPr>
        <w:t xml:space="preserve">I.2 Peer agent, Qwen3-32B episodes (DeepSeek-V4-Flash)</w:t>
      </w:r>
      <w:bookmarkEnd w:id="161"/>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1"/>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1"/>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1"/>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1"/>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2" w:name="_20ca0bd4e22b8907b745ffe52788f85136b39d1"/>
      <w:r>
        <w:rPr>
          <w:rFonts w:ascii="Old Standard TT" w:hAnsi="Old Standard TT"/>
          <w:b/>
          <w:sz w:val="26"/>
        </w:rPr>
        <w:t xml:space="preserve">I.3 Peer agent, gpt-oss-20b episodes (DeepSeek-V4-Pro)</w:t>
      </w:r>
      <w:bookmarkEnd w:id="162"/>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3" w:name="_f002de876b18b98d7718a6bd3deb30b9403007e"/>
      <w:r>
        <w:rPr>
          <w:rFonts w:ascii="Old Standard TT" w:hAnsi="Old Standard TT"/>
          <w:b/>
          <w:sz w:val="26"/>
        </w:rPr>
        <w:t xml:space="preserve">I.4 Text monitors</w:t>
      </w:r>
      <w:bookmarkEnd w:id="163"/>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4"/>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4"/>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4"/>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8"/>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8"/>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8"/>
        </w:numPr>
        <w:spacing w:line="259" w:lineRule="auto" w:after="60"/>
        <w:jc w:val="left"/>
      </w:pPr>
      <w:r>
        <w:rPr>
          <w:rFonts w:ascii="XCharter" w:hAnsi="XCharter" w:cs="XCharter" w:eastAsia="XCharter"/>
          <w:b/>
          <w:bCs/>
          <w:sz w:val="22"/>
        </w:rPr>
        <w:t xml:space="preserve">Signs:</w:t>
      </w:r>
    </w:p>
    <w:p>
      <w:pPr>
        <w:pStyle w:val="Compact"/>
        <w:widowControl/>
        <w:numPr>
          <w:ilvl w:val="1"/>
          <w:numId w:val="1019"/>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19"/>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19"/>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19"/>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8"/>
        </w:numPr>
        <w:spacing w:line="259" w:lineRule="auto" w:after="60"/>
        <w:jc w:val="left"/>
      </w:pPr>
      <w:r>
        <w:rPr>
          <w:rFonts w:ascii="XCharter" w:hAnsi="XCharter" w:cs="XCharter" w:eastAsia="XCharter"/>
          <w:b/>
          <w:bCs/>
          <w:sz w:val="22"/>
        </w:rPr>
        <w:t xml:space="preserve">Questions:</w:t>
      </w:r>
    </w:p>
    <w:p>
      <w:pPr>
        <w:pStyle w:val="Compact"/>
        <w:widowControl/>
        <w:numPr>
          <w:ilvl w:val="1"/>
          <w:numId w:val="1020"/>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0"/>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0"/>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8"/>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1"/>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1"/>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1"/>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2"/>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2"/>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2"/>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2"/>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3"/>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3"/>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3"/>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4"/>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4"/>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3"/>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3"/>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6"/>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6"/>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6"/>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9c1464226db10cf5b2f811ceea16efe8dd113a9"/>
      <w:r>
        <w:rPr>
          <w:rFonts w:ascii="Old Standard TT" w:hAnsi="Old Standard TT"/>
          <w:b/>
          <w:sz w:val="26"/>
        </w:rPr>
        <w:t xml:space="preserve">J. A Scaled Follow-Up Study: Design and Decision Criteria</w:t>
      </w:r>
      <w:bookmarkEnd w:id="164"/>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527a2614b0d9aee1dd56ba38d518b45bdf577b0"/>
      <w:r>
        <w:rPr>
          <w:rFonts w:ascii="Old Standard TT" w:hAnsi="Old Standard TT"/>
          <w:b/>
          <w:sz w:val="26"/>
        </w:rPr>
        <w:t xml:space="preserve">K. Related Work in Full</w:t>
      </w:r>
      <w:bookmarkEnd w:id="165"/>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66" w:name="_cb9581af10cbdf668d14e9255457c76a376db3f"/>
      <w:r>
        <w:rPr>
          <w:rFonts w:ascii="Old Standard TT" w:hAnsi="Old Standard TT"/>
          <w:b/>
          <w:sz w:val="28"/>
        </w:rPr>
        <w:t xml:space="preserve">LLM Usage Statement</w:t>
      </w:r>
      <w:bookmarkEnd w:id="16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8" Type="http://schemas.openxmlformats.org/officeDocument/2006/relationships/image" Target="media/rId18.png"/><Relationship Id="rId26" Type="http://schemas.openxmlformats.org/officeDocument/2006/relationships/image" Target="media/rId26.png"/><Relationship Id="rId143" Type="http://schemas.openxmlformats.org/officeDocument/2006/relationships/image" Target="media/rId143.png"/><Relationship Id="rId134" Type="http://schemas.openxmlformats.org/officeDocument/2006/relationships/image" Target="media/rId134.png"/><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2026-10-25T20:38:25Z</dcterms:created>
  <dcterms:modified xsi:type="dcterms:W3CDTF">2026-10-25T20:38:25Z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