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Collusion? Predicting When an Agent Gives In to a Recruiting Peer,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strongly discriminative: AUROC 0.95 on held-out scenarios for Qwen3-32B and 0.91 for gpt-oss-20b, above a Jev decision-model monitor given the same conversation (0.74 and 0.27). On gpt-oss-20b, a probe on the streaming reasoning reaches 0.93 and, under a plan frozen in advance, holds at 0.91 on new episodes. Predictability forms a ladder: the nearer the act, the sharper the signal. For oversight, beyond filtering a harmful action once written, activation probes can flag the call about to give in before it acts, in time for an overseer to pause it; subtler collusion is next.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self-risking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 Blocking forbidden tool calls is not enough: many of our leaks go out as an ordinary reply (</w:t>
      </w:r>
      <w:hyperlink w:anchor="_cbd875682116f3153fa9a8f9c77c00f8b5fdab1">
        <w:r>
          <w:rPr>
            <w:rStyle w:val="Hyperlink"/>
            <w:rFonts w:ascii="XCharter" w:hAnsi="XCharter" w:cs="XCharter" w:eastAsia="XCharter"/>
            <w:color w:val="000080"/>
            <w:sz w:val="22"/>
            <w:u w:val="none"/>
          </w:rPr>
          <w:t xml:space="preserve">§5</w:t>
        </w:r>
      </w:hyperlink>
      <w:r>
        <w:rPr>
          <w:rFonts w:ascii="XCharter" w:hAnsi="XCharter" w:cs="XCharter" w:eastAsia="XCharter"/>
          <w:sz w:val="22"/>
        </w:rPr>
        <w:t xml:space="preserve">), and a warning before the act allows softer responses, such as pausing the agent or asking a human.</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sz w:val="22"/>
        </w:rPr>
        <w:t xml:space="preserve">Without the rule, handing over a token is ordinary help; with it, collusion. So the question concerns the operator’s policy, not a model’s refusal training. Recruitment also differs from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In an exploratory audit, peer claims of operator authority did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and gpt-oss-20b, facing its own recruiter, on 43%;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AUROC (0.5 = chance, 1 = perfect) 0.95 on Qwen3-32B and 0.91 on gpt-oss-20b, above a decision-model monitor (Jev) on the same calls (0.74 and 0.27). A probe on gpt-oss-20b’s streaming reasoning reaches 0.93; with its cutoff set for 5% alarms on control calls, it catches 85% of leaking calls in development; on new episodes, under a plan fixed in advance, it scores 0.91 and catches 14 of 26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the calls that do not give in also come after the peer’s ask, so the probe is not just detecting the request; it also beats keyword rules and a just-read-the-value flag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1e62e377743a1710d6c6627075d0da3867e02b8"/>
      <w:r>
        <w:rPr>
          <w:rFonts w:ascii="Old Standard TT" w:hAnsi="Old Standard TT"/>
          <w:b/>
          <w:bCs/>
          <w:sz w:val="28"/>
        </w:rPr>
        <w:t xml:space="preserve">Combining what agents say with what they do (sprint Track 2, Q2.2):</w:t>
      </w:r>
      <w:r>
        <w:rPr>
          <w:rFonts w:ascii="Old Standard TT" w:hAnsi="Old Standard TT"/>
          <w:b/>
          <w:sz w:val="28"/>
        </w:rPr>
        <w:t xml:space="preserve"> </w:t>
      </w:r>
      <w:r>
        <w:rPr>
          <w:rFonts w:ascii="Old Standard TT" w:hAnsi="Old Standard TT"/>
          <w:b/>
          <w:sz w:val="28"/>
        </w:rPr>
        <w:t xml:space="preserve">adding the peer’s messages to the target’s actions lifts the strongest round-level text monitor by +0.12 AUROC over actions alone (first data batch), and it works best asked to forecast (Section 4.5).</w:t>
      </w:r>
      <w:bookmarkEnd w:id="12"/>
    </w:p>
    <w:p>
      <w:pPr>
        <w:pStyle w:val="Heading2"/>
        <w:keepNext/>
        <w:spacing w:after="0" w:before="200" w:line="360" w:lineRule="auto"/>
        <w:rPr>
          <w:rFonts w:ascii="Old Standard TT" w:cs="Old Standard TT" w:eastAsia="Old Standard TT" w:hAnsi="Old Standard TT"/>
          <w:b w:val="1"/>
          <w:bCs w:val="1"/>
          <w:sz w:val="28"/>
          <w:szCs w:val="28"/>
        </w:rPr>
      </w:pPr>
      <w:bookmarkStart w:id="13" w:name="_c402fc6a47ec8bb5e751ab4b29e0fc7601a51bb"/>
      <w:r>
        <w:rPr>
          <w:rFonts w:ascii="Old Standard TT" w:hAnsi="Old Standard TT"/>
          <w:b/>
          <w:sz w:val="28"/>
        </w:rPr>
        <w:t xml:space="preserve">2. Related Work</w:t>
      </w:r>
      <w:bookmarkEnd w:id="13"/>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make the same comparison under recruitment:</w:t>
      </w:r>
      <w:r>
        <w:rPr>
          <w:rFonts w:ascii="XCharter" w:hAnsi="XCharter" w:cs="XCharter" w:eastAsia="XCharter"/>
          <w:sz w:val="22"/>
        </w:rPr>
        <w:t xml:space="preserve"> </w:t>
      </w:r>
      <w:r>
        <w:rPr>
          <w:rFonts w:ascii="XCharter" w:hAnsi="XCharter" w:cs="XCharter" w:eastAsia="XCharter"/>
          <w:sz w:val="22"/>
        </w:rPr>
        <w:t xml:space="preserve">our target is never told to collude, and every call we score, give-in or not, has already seen the value and faces the same pressure.</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agent actions from internal states and text, 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injected agents’ decisions within their reasoning.</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fuses an activation monitor with LLM outcome forecasts on AgentDojo. Streaming classifiers stop a model’s output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We study an agent pressed by a peer, compare it only with calls that were also under pressure, ask the same question at different distances from the act on the same calls, and test what a text monitor is asked and what it sees.</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4" w:name="_methods"/>
      <w:r>
        <w:rPr>
          <w:rFonts w:ascii="Old Standard TT" w:hAnsi="Old Standard TT"/>
          <w:b/>
          <w:sz w:val="28"/>
        </w:rPr>
        <w:t xml:space="preserve">3. Methods</w:t>
      </w:r>
      <w:bookmarkEnd w:id="14"/>
    </w:p>
    <w:p>
      <w:pPr>
        <w:pStyle w:val="Heading3"/>
        <w:keepNext/>
        <w:spacing w:before="200" w:lineRule="auto"/>
        <w:rPr>
          <w:rFonts w:ascii="Old Standard TT" w:cs="Old Standard TT" w:eastAsia="Old Standard TT" w:hAnsi="Old Standard TT"/>
          <w:b w:val="1"/>
          <w:bCs w:val="1"/>
          <w:color w:val="000000"/>
          <w:sz w:val="26"/>
          <w:szCs w:val="26"/>
        </w:rPr>
      </w:pPr>
      <w:bookmarkStart w:id="15" w:name="_setup"/>
      <w:r>
        <w:rPr>
          <w:rFonts w:ascii="Old Standard TT" w:hAnsi="Old Standard TT"/>
          <w:b/>
          <w:sz w:val="26"/>
        </w:rPr>
        <w:t xml:space="preserve">3.1 Setup</w:t>
      </w:r>
      <w:bookmarkEnd w:id="15"/>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the peer also used one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(DeepSeek-V4-Pro for gpt-oss-20b,</w:t>
      </w:r>
      <w:r>
        <w:rPr>
          <w:rFonts w:ascii="XCharter" w:hAnsi="XCharter" w:cs="XCharter" w:eastAsia="XCharter"/>
          <w:sz w:val="22"/>
        </w:rPr>
        <w:t xml:space="preserve"> </w:t>
      </w:r>
      <w:hyperlink w:anchor="_e5033cf07e50c8c53e3b2479a5847f24a7eee57">
        <w:r>
          <w:rPr>
            <w:rStyle w:val="Hyperlink"/>
            <w:rFonts w:ascii="XCharter" w:hAnsi="XCharter" w:cs="XCharter" w:eastAsia="XCharter"/>
            <w:color w:val="000080"/>
            <w:sz w:val="22"/>
            <w:u w:val="none"/>
          </w:rPr>
          <w:t xml:space="preserve">§3.6</w:t>
        </w:r>
      </w:hyperlink>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data"/>
      <w:r>
        <w:rPr>
          <w:rFonts w:ascii="Old Standard TT" w:hAnsi="Old Standard TT"/>
          <w:b/>
          <w:sz w:val="26"/>
        </w:rPr>
        <w:t xml:space="preserve">3.2 Data</w:t>
      </w:r>
      <w:bookmarkEnd w:id="16"/>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which also includes the give-in calls, has 4,844 calls (101 give-ins; L.3).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8" name="Picture"/>
            <a:graphic>
              <a:graphicData uri="http://schemas.openxmlformats.org/drawingml/2006/picture">
                <pic:pic>
                  <pic:nvPicPr>
                    <pic:cNvPr descr="figures/figure1_setup.png" id="19" name="Picture"/>
                    <pic:cNvPicPr>
                      <a:picLocks noChangeArrowheads="1" noChangeAspect="1"/>
                    </pic:cNvPicPr>
                  </pic:nvPicPr>
                  <pic:blipFill>
                    <a:blip r:embed="rId17"/>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0"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20"/>
    </w:p>
    <w:p>
      <w:pPr>
        <w:pStyle w:val="Heading3"/>
        <w:keepNext/>
        <w:spacing w:before="200" w:lineRule="auto"/>
        <w:rPr>
          <w:rFonts w:ascii="Old Standard TT" w:cs="Old Standard TT" w:eastAsia="Old Standard TT" w:hAnsi="Old Standard TT"/>
          <w:b w:val="1"/>
          <w:bCs w:val="1"/>
          <w:color w:val="000000"/>
          <w:sz w:val="26"/>
          <w:szCs w:val="26"/>
        </w:rPr>
      </w:pPr>
      <w:bookmarkStart w:id="21" w:name="_49d7020ce8d99d54ef2f42ab4174e0619897c95"/>
      <w:r>
        <w:rPr>
          <w:rFonts w:ascii="Old Standard TT" w:hAnsi="Old Standard TT"/>
          <w:b/>
          <w:sz w:val="26"/>
        </w:rPr>
        <w:t xml:space="preserve">3.3 What gets scored</w:t>
      </w:r>
      <w:bookmarkEnd w:id="21"/>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It is a mechanical rule on the tool log, so it also counts accidental disclosures. One exception: the gpt-oss-20b per-call label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the value written into a reply or a tool argument. gpt-oss-20b almost always writes the value to a file before it posts it, so only 3 of its scored calls are first channel posts; 143 of its 146 leaking calls are tool-argument writes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detectors"/>
      <w:r>
        <w:rPr>
          <w:rFonts w:ascii="Old Standard TT" w:hAnsi="Old Standard TT"/>
          <w:b/>
          <w:sz w:val="26"/>
        </w:rPr>
        <w:t xml:space="preserve">3.4 Detectors</w:t>
      </w:r>
      <w:bookmarkEnd w:id="22"/>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probe itself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sees each call’s conversation and tool results (values masked; L.3) and is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valuation"/>
      <w:r>
        <w:rPr>
          <w:rFonts w:ascii="Old Standard TT" w:hAnsi="Old Standard TT"/>
          <w:b/>
          <w:sz w:val="26"/>
        </w:rPr>
        <w:t xml:space="preserve">3.5 Evaluation</w:t>
      </w:r>
      <w:bookmarkEnd w:id="23"/>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calls in the same scenario and round.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4" w:name="_e5033cf07e50c8c53e3b2479a5847f24a7eee57"/>
      <w:r>
        <w:rPr>
          <w:rFonts w:ascii="Old Standard TT" w:hAnsi="Old Standard TT"/>
          <w:b/>
          <w:sz w:val="26"/>
        </w:rPr>
        <w:t xml:space="preserve">3.6 Second target</w:t>
      </w:r>
      <w:bookmarkEnd w:id="24"/>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the peer is the adversary, not the system under test, and was tuned only so that some episodes give in and some refuse, on behaviour alone, then frozen before any probe or monitor saw the data; every detector is scored on the same frozen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5" w:name="_results"/>
      <w:r>
        <w:rPr>
          <w:rFonts w:ascii="Old Standard TT" w:hAnsi="Old Standard TT"/>
          <w:b/>
          <w:sz w:val="28"/>
        </w:rPr>
        <w:t xml:space="preserve">4. Results</w:t>
      </w:r>
      <w:bookmarkEnd w:id="25"/>
    </w:p>
    <w:p>
      <w:pPr>
        <w:pStyle w:val="Heading3"/>
        <w:keepNext/>
        <w:spacing w:before="200" w:lineRule="auto"/>
        <w:rPr>
          <w:rFonts w:ascii="Old Standard TT" w:cs="Old Standard TT" w:eastAsia="Old Standard TT" w:hAnsi="Old Standard TT"/>
          <w:b w:val="1"/>
          <w:bCs w:val="1"/>
          <w:color w:val="000000"/>
          <w:sz w:val="26"/>
          <w:szCs w:val="26"/>
        </w:rPr>
      </w:pPr>
      <w:bookmarkStart w:id="26" w:name="_10e02c891648c4772c772b6b4d10eb64ebee068"/>
      <w:r>
        <w:rPr>
          <w:rFonts w:ascii="Old Standard TT" w:hAnsi="Old Standard TT"/>
          <w:b/>
          <w:sz w:val="26"/>
        </w:rPr>
        <w:t xml:space="preserve">4.1 Behaviour: the setup produces mixed outcomes</w:t>
      </w:r>
      <w:bookmarkEnd w:id="26"/>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(43%),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7" w:name="_b697b01ca62393272adcf5507b059bf356c2261"/>
      <w:r>
        <w:rPr>
          <w:rFonts w:ascii="Old Standard TT" w:hAnsi="Old Standard TT"/>
          <w:b/>
          <w:sz w:val="26"/>
        </w:rPr>
        <w:t xml:space="preserve">4.2 Asked per call, a probe predicts which call will give in</w:t>
      </w:r>
      <w:bookmarkEnd w:id="27"/>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picks out the leaking call before the call generates any token. On held-out scenarios it scores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with reasoning; 121 of the 146 leaking calls). Jev, asked the same question, scores lower on both models: 0.74 on Qwen3-32B and 0.27 on gpt-oss-20b (probe minus Jev +0.21 and +0.64, intervals exclude zero). Jev sees the same conversation and tool results, with protected values masked; for gpt-oss-20b it omits same-turn reasoning; Jev given that reasoning scores 0.40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On gpt-oss-20b it flags nearly every pressured call, so it ranks leaking calls below the rest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On gpt-oss-20b, a probe on the streaming reasoning does slightly better and held on new episodes. It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w:t>
      </w:r>
      <w:r>
        <w:rPr>
          <w:rFonts w:ascii="XCharter" w:hAnsi="XCharter" w:cs="XCharter" w:eastAsia="XCharter"/>
          <w:sz w:val="22"/>
        </w:rPr>
        <w:t xml:space="preserve">on held-out scenarios, against 0.60 for Jev reading the same reasoning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We froze it, with its alarm cutoff, before 84 new episodes were collected; on them it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(594 calls, 26 leaking), meeting its pre-stated criterion. At the frozen cutoff it flagged 14 of the 26 leaking calls, fewer than the 85% in development, with alarms on 2.4% of refusing calls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alarm details in</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9" name="Picture"/>
            <a:graphic>
              <a:graphicData uri="http://schemas.openxmlformats.org/drawingml/2006/picture">
                <pic:pic>
                  <pic:nvPicPr>
                    <pic:cNvPr descr="figures/figure3_streaming.png" id="30" name="Picture"/>
                    <pic:cNvPicPr>
                      <a:picLocks noChangeArrowheads="1" noChangeAspect="1"/>
                    </pic:cNvPicPr>
                  </pic:nvPicPr>
                  <pic:blipFill>
                    <a:blip r:embed="rId28"/>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1"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Positives: any public emission (gpt-oss-20b) or the give-in rule (Qwen3-32B). The frozen row is the reasoning probe on 84 new episodes.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1"/>
    </w:p>
    <w:p>
      <w:pPr>
        <w:pStyle w:val="BodyText"/>
        <w:widowControl/>
        <w:spacing w:after="0" w:line="259" w:lineRule="auto"/>
        <w:ind w:firstLine="0"/>
        <w:jc w:val="both"/>
      </w:pPr>
      <w:r>
        <w:rPr>
          <w:rFonts w:ascii="XCharter" w:hAnsi="XCharter" w:cs="XCharter" w:eastAsia="XCharter"/>
          <w:sz w:val="22"/>
        </w:rPr>
        <w:t xml:space="preserve">The probe’s signal is specific to the call that gives in. One call earlier, the last-prompt probe scores only 0.71 on Qwen3-32B and 0.62 on gpt-oss-20b. On gpt-oss-20b, the change of question does most of the work: the round-level probe scores 0.49 on the per-call label; retrained on that label, 0.91. Reading the reasoning adds a modest further gain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b21dc55ab05074ea0fc7e23d7e979da2ff589df"/>
      <w:r>
        <w:rPr>
          <w:rFonts w:ascii="Old Standard TT" w:hAnsi="Old Standard TT"/>
          <w:b/>
          <w:sz w:val="26"/>
        </w:rPr>
        <w:t xml:space="preserve">4.3 The ranking survives the obvious shortcuts</w:t>
      </w:r>
      <w:bookmarkEnd w:id="32"/>
    </w:p>
    <w:p>
      <w:pPr>
        <w:pStyle w:val="FirstParagraph"/>
        <w:widowControl/>
        <w:spacing w:after="0" w:line="259" w:lineRule="auto"/>
        <w:ind w:firstLine="0"/>
        <w:jc w:val="both"/>
      </w:pPr>
      <w:r>
        <w:rPr>
          <w:rFonts w:ascii="XCharter" w:hAnsi="XCharter" w:cs="XCharter" w:eastAsia="XCharter"/>
          <w:sz w:val="22"/>
        </w:rPr>
        <w:t xml:space="preserve">The probe is not just detecting pressure, the secret string or the read step.</w:t>
      </w:r>
      <w:r>
        <w:rPr>
          <w:rFonts w:ascii="XCharter" w:hAnsi="XCharter" w:cs="XCharter" w:eastAsia="XCharter"/>
          <w:sz w:val="22"/>
        </w:rPr>
        <w:t xml:space="preserve"> </w:t>
      </w:r>
      <w:r>
        <w:rPr>
          <w:rFonts w:ascii="XCharter" w:hAnsi="XCharter" w:cs="XCharter" w:eastAsia="XCharter"/>
          <w:i/>
          <w:iCs/>
          <w:sz w:val="22"/>
        </w:rPr>
        <w:t xml:space="preserve">Pressure:</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on gpt-oss-20b, the probe on pre-ask calls (placebo) scores 0.46 to 0.49.</w:t>
      </w:r>
      <w:r>
        <w:rPr>
          <w:rFonts w:ascii="XCharter" w:hAnsi="XCharter" w:cs="XCharter" w:eastAsia="XCharter"/>
          <w:sz w:val="22"/>
        </w:rPr>
        <w:t xml:space="preserve"> </w:t>
      </w:r>
      <w:r>
        <w:rPr>
          <w:rFonts w:ascii="XCharter" w:hAnsi="XCharter" w:cs="XCharter" w:eastAsia="XCharter"/>
          <w:i/>
          <w:iCs/>
          <w:sz w:val="22"/>
        </w:rPr>
        <w:t xml:space="preserve">Secret string:</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and keyword rules score 0.40 to 0.48.</w:t>
      </w:r>
      <w:r>
        <w:rPr>
          <w:rFonts w:ascii="XCharter" w:hAnsi="XCharter" w:cs="XCharter" w:eastAsia="XCharter"/>
          <w:sz w:val="22"/>
        </w:rPr>
        <w:t xml:space="preserve"> </w:t>
      </w:r>
      <w:r>
        <w:rPr>
          <w:rFonts w:ascii="XCharter" w:hAnsi="XCharter" w:cs="XCharter" w:eastAsia="XCharter"/>
          <w:i/>
          <w:iCs/>
          <w:sz w:val="22"/>
        </w:rPr>
        <w:t xml:space="preserve">Read step:</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w:t>
      </w:r>
      <w:hyperlink w:anchor="_8ce8413e36bee0c123bcc62a0f71b4050680895">
        <w:r>
          <w:rPr>
            <w:rStyle w:val="Hyperlink"/>
            <w:rFonts w:ascii="XCharter" w:hAnsi="XCharter" w:cs="XCharter" w:eastAsia="XCharter"/>
            <w:color w:val="000080"/>
            <w:sz w:val="22"/>
            <w:u w:val="none"/>
          </w:rPr>
          <w:t xml:space="preserve">Appendix L.4</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What the probe reads is not established. On gpt-oss-20b, a probe that reads only the incoming peer message and tool results also reaches 0.93 (one seed). That probe also runs before the call acts, so the result stands, but the signal may come largely from what just arrived (</w:t>
      </w:r>
      <w:hyperlink w:anchor="_7a58329c2353e56a5bd1d72f28e42872a37757f">
        <w:r>
          <w:rPr>
            <w:rStyle w:val="Hyperlink"/>
            <w:rFonts w:ascii="XCharter" w:hAnsi="XCharter" w:cs="XCharter" w:eastAsia="XCharter"/>
            <w:color w:val="000080"/>
            <w:sz w:val="22"/>
            <w:u w:val="none"/>
          </w:rPr>
          <w:t xml:space="preserve">Appendix L.2</w:t>
        </w:r>
      </w:hyperlink>
      <w:r>
        <w:rPr>
          <w:rFonts w:ascii="XCharter" w:hAnsi="XCharter" w:cs="XCharter" w:eastAsia="XCharter"/>
          <w:sz w:val="22"/>
        </w:rPr>
        <w:t xml:space="preserve">). Per-call alarms are also not cheap: with the threshold set for 5% alarms on control calls, 41% of refusing gpt-oss-20b episodes (at least one alarm) and 11% of refusing Qwen3-32B calls alarm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887172a3e796cb0419e143a2a599ee2332deb2b"/>
      <w:r>
        <w:rPr>
          <w:rFonts w:ascii="Old Standard TT" w:hAnsi="Old Standard TT"/>
          <w:b/>
          <w:sz w:val="26"/>
        </w:rPr>
        <w:t xml:space="preserve">4.4 The further from the act, the less predictable</w:t>
      </w:r>
      <w:bookmarkEnd w:id="33"/>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post-hoc rungs include give-in calls, so Qwen3-32B near-term reads 0.67 here, not the confirmed 0.58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The confirmed results are the round-level near-term result below and the reasoning probe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5" name="Picture"/>
            <a:graphic>
              <a:graphicData uri="http://schemas.openxmlformats.org/drawingml/2006/picture">
                <pic:pic>
                  <pic:nvPicPr>
                    <pic:cNvPr descr="figures/figure2_prediction.png" id="36" name="Picture"/>
                    <pic:cNvPicPr>
                      <a:picLocks noChangeArrowheads="1" noChangeAspect="1"/>
                    </pic:cNvPicPr>
                  </pic:nvPicPr>
                  <pic:blipFill>
                    <a:blip r:embed="rId34"/>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7"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7"/>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probe that separates pressured from unpressured calls perfectly does not rank who gives in (0.44;</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2,059 calls, 148 near-term positives). Of its 128 channel give-ins, 32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53a442ad08630cd2bdfad9b210d65fb18fbeef1"/>
      <w:r>
        <w:rPr>
          <w:rFonts w:ascii="Old Standard TT" w:hAnsi="Old Standard TT"/>
          <w:b/>
          <w:sz w:val="26"/>
        </w:rPr>
        <w:t xml:space="preserve">4.5 What a round-level monitor should ask and see</w:t>
      </w:r>
      <w:bookmarkEnd w:id="38"/>
    </w:p>
    <w:p>
      <w:pPr>
        <w:pStyle w:val="FirstParagraph"/>
        <w:widowControl/>
        <w:spacing w:after="0" w:line="259" w:lineRule="auto"/>
        <w:ind w:firstLine="0"/>
        <w:jc w:val="both"/>
      </w:pPr>
      <w:r>
        <w:rPr>
          <w:rFonts w:ascii="XCharter" w:hAnsi="XCharter" w:cs="XCharter" w:eastAsia="XCharter"/>
          <w:sz w:val="22"/>
        </w:rPr>
        <w:t xml:space="preserve">A round-level monitor does best asked to forecast and shown the peer’s messages. Asked to forecast, Jev scores 0.65 on the near-term label; asked to detect, 0.58.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w:t>
      </w:r>
      <w:r>
        <w:rPr>
          <w:rFonts w:ascii="XCharter" w:hAnsi="XCharter" w:cs="XCharter" w:eastAsia="XCharter"/>
          <w:sz w:val="22"/>
        </w:rPr>
        <w:t xml:space="preserve">(episodes collected before the new-episode set), showing the Jev forecaster the peer’s messages on top of the target’s actions raises its score by 0.12, while adding everything else the target saw adds only 0.03, not significant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score as an extra input next to a monitor’s score helps only the weaker monitor: GPT-5-nano gains up to +0.11 on the new episodes but not significantly on held-out scenarios, and Jev gains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9" w:name="_cbd875682116f3153fa9a8f9c77c00f8b5fdab1"/>
      <w:r>
        <w:rPr>
          <w:rFonts w:ascii="Old Standard TT" w:hAnsi="Old Standard TT"/>
          <w:b/>
          <w:sz w:val="28"/>
        </w:rPr>
        <w:t xml:space="preserve">5. Discussion and Limitations</w:t>
      </w:r>
      <w:bookmarkEnd w:id="39"/>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is the first defence, and an exact-string filter would catch our leaks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 tool-call blocker alone would not: 127 of gpt-oss-20b’s 128 channel give-ins and 48 of Qwen3-32B’s 98 first channel leaks (plain peer)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per-route probe scores in</w:t>
      </w:r>
      <w:r>
        <w:rPr>
          <w:rFonts w:ascii="XCharter" w:hAnsi="XCharter" w:cs="XCharter" w:eastAsia="XCharter"/>
          <w:sz w:val="22"/>
        </w:rPr>
        <w:t xml:space="preserve"> </w:t>
      </w:r>
      <w:hyperlink w:anchor="_8ce8413e36bee0c123bcc62a0f71b4050680895">
        <w:r>
          <w:rPr>
            <w:rStyle w:val="Hyperlink"/>
            <w:rFonts w:ascii="XCharter" w:hAnsi="XCharter" w:cs="XCharter" w:eastAsia="XCharter"/>
            <w:color w:val="000080"/>
            <w:sz w:val="22"/>
            <w:u w:val="none"/>
          </w:rPr>
          <w:t xml:space="preserve">Appendix L.4</w:t>
        </w:r>
      </w:hyperlink>
      <w:r>
        <w:rPr>
          <w:rFonts w:ascii="XCharter" w:hAnsi="XCharter" w:cs="XCharter" w:eastAsia="XCharter"/>
          <w:sz w:val="22"/>
        </w:rPr>
        <w:t xml:space="preserve">). Values can also be paraphrased or encoded where no string matches; this setup does not test such leaks.</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limitations"/>
      <w:r>
        <w:rPr>
          <w:rFonts w:ascii="Old Standard TT" w:hAnsi="Old Standard TT"/>
          <w:b/>
          <w:sz w:val="26"/>
        </w:rPr>
        <w:t xml:space="preserve">Limitations</w:t>
      </w:r>
      <w:bookmarkEnd w:id="40"/>
    </w:p>
    <w:p>
      <w:pPr>
        <w:pStyle w:val="FirstParagraph"/>
        <w:widowControl/>
        <w:spacing w:after="0" w:line="259" w:lineRule="auto"/>
        <w:ind w:firstLine="0"/>
        <w:jc w:val="both"/>
      </w:pPr>
      <w:r>
        <w:rPr>
          <w:rFonts w:ascii="XCharter" w:hAnsi="XCharter" w:cs="XCharter" w:eastAsia="XCharter"/>
          <w:sz w:val="22"/>
        </w:rPr>
        <w:t xml:space="preserve">The per-call last-prompt results are post hoc; only the gpt-oss-20b reasoning probe was confirmed, on 26 leaking calls. One peer and one target in six scenarios from one template, on two models. The probe warns only about the current call, and what it reads is unknown.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Future work.</w:t>
      </w:r>
      <w:r>
        <w:rPr>
          <w:rFonts w:ascii="XCharter" w:hAnsi="XCharter" w:cs="XCharter" w:eastAsia="XCharter"/>
          <w:sz w:val="22"/>
        </w:rPr>
        <w:t xml:space="preserve"> </w:t>
      </w:r>
      <w:r>
        <w:rPr>
          <w:rFonts w:ascii="XCharter" w:hAnsi="XCharter" w:cs="XCharter" w:eastAsia="XCharter"/>
          <w:sz w:val="22"/>
        </w:rPr>
        <w:t xml:space="preserve">Next steps are to score per-call probes with several peers, recruited agents that recruit others, and shared boards or memory,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and scenarios,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Asked per call, an agent’s give-in to a recruiting peer can be seen before it happens. A linear probe on the target’s activations predicts which call will give in, on two models, and beats the Jev monitor we evaluated. Further from the act the signal fades: modest for this round or the next, barely there for the eventual outcome. Next: subtler collusion and its spread between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omitted (replay scripts regenerate them). Only a code-free planning commit predates the sprint; Aboard (agent message board) and Leaf (comment viewer), the author’s tools, only coordinated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8"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47a14f87b50f826fa97c5a2719a69f05762d3bd"/>
      <w:r>
        <w:rPr>
          <w:rFonts w:ascii="XCharter" w:hAnsi="XCharter" w:cs="XCharter" w:eastAsia="XCharter"/>
          <w:sz w:val="22"/>
        </w:rPr>
        <w:t xml:space="preserve">Jia, H., Liu, Y., Chong, B., Yang, Y., Chen, Y., Liang, J., Li, Q., Lu, H., Xu, K., Zheng, H., Zhang, C., Huang, Y., Zhang, J., Qi, Y., Lin, Y., &amp; Peng, H. (2026).</w:t>
      </w:r>
      <w:r>
        <w:rPr>
          <w:rFonts w:ascii="XCharter" w:hAnsi="XCharter" w:cs="XCharter" w:eastAsia="XCharter"/>
          <w:sz w:val="22"/>
        </w:rPr>
        <w:t xml:space="preserve"> </w:t>
      </w:r>
      <w:r>
        <w:rPr>
          <w:rFonts w:ascii="XCharter" w:hAnsi="XCharter" w:cs="XCharter" w:eastAsia="XCharter"/>
          <w:i/>
          <w:iCs/>
          <w:sz w:val="22"/>
        </w:rPr>
        <w:t xml:space="preserve">The window is in the reasoning: When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decide to follow prompt injections</w:t>
      </w:r>
      <w:r>
        <w:rPr>
          <w:rFonts w:ascii="XCharter" w:hAnsi="XCharter" w:cs="XCharter" w:eastAsia="XCharter"/>
          <w:sz w:val="22"/>
        </w:rPr>
        <w:t xml:space="preserve">. arXiv preprint arXiv:2610.24048.</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https://arxiv.org/abs/2610.24048</w:t>
        </w:r>
      </w:hyperlink>
      <w:bookmarkEnd w:id="81"/>
    </w:p>
    <w:p>
      <w:pPr>
        <w:pStyle w:val="Bibliography"/>
        <w:widowControl/>
        <w:spacing w:line="259" w:lineRule="auto" w:after="80"/>
        <w:ind w:left="360" w:hanging="360"/>
        <w:jc w:val="left"/>
      </w:pPr>
      <w:bookmarkStart w:id="83"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https://arxiv.org/abs/2411.03343</w:t>
        </w:r>
      </w:hyperlink>
      <w:bookmarkEnd w:id="83"/>
    </w:p>
    <w:p>
      <w:pPr>
        <w:pStyle w:val="Bibliography"/>
        <w:widowControl/>
        <w:spacing w:line="259" w:lineRule="auto" w:after="80"/>
        <w:ind w:left="360" w:hanging="360"/>
        <w:jc w:val="left"/>
      </w:pPr>
      <w:bookmarkStart w:id="85"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https://arxiv.org/abs/2606.11172</w:t>
        </w:r>
      </w:hyperlink>
      <w:bookmarkEnd w:id="85"/>
    </w:p>
    <w:p>
      <w:pPr>
        <w:pStyle w:val="Bibliography"/>
        <w:widowControl/>
        <w:spacing w:line="259" w:lineRule="auto" w:after="80"/>
        <w:ind w:left="360" w:hanging="360"/>
        <w:jc w:val="left"/>
      </w:pPr>
      <w:bookmarkStart w:id="87"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https://arxiv.org/abs/2601.11516</w:t>
        </w:r>
      </w:hyperlink>
      <w:bookmarkEnd w:id="87"/>
    </w:p>
    <w:p>
      <w:pPr>
        <w:pStyle w:val="Bibliography"/>
        <w:widowControl/>
        <w:spacing w:line="259" w:lineRule="auto" w:after="80"/>
        <w:ind w:left="360" w:hanging="360"/>
        <w:jc w:val="left"/>
      </w:pPr>
      <w:bookmarkStart w:id="89"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https://arxiv.org/abs/2410.00031</w:t>
        </w:r>
      </w:hyperlink>
      <w:bookmarkEnd w:id="89"/>
    </w:p>
    <w:p>
      <w:pPr>
        <w:pStyle w:val="Bibliography"/>
        <w:widowControl/>
        <w:spacing w:line="259" w:lineRule="auto" w:after="80"/>
        <w:ind w:left="360" w:hanging="360"/>
        <w:jc w:val="left"/>
      </w:pPr>
      <w:bookmarkStart w:id="91"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https://www.usenix.org/conference/usenixsecurity24/presentation/liu-yupei</w:t>
        </w:r>
      </w:hyperlink>
      <w:bookmarkEnd w:id="91"/>
    </w:p>
    <w:p>
      <w:pPr>
        <w:pStyle w:val="Bibliography"/>
        <w:widowControl/>
        <w:spacing w:line="259" w:lineRule="auto" w:after="80"/>
        <w:ind w:left="360" w:hanging="360"/>
        <w:jc w:val="left"/>
      </w:pPr>
      <w:bookmarkStart w:id="93"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https://www.anthropic.com/news/probes-catch-sleeper-agents</w:t>
        </w:r>
      </w:hyperlink>
      <w:bookmarkEnd w:id="93"/>
    </w:p>
    <w:p>
      <w:pPr>
        <w:pStyle w:val="Bibliography"/>
        <w:widowControl/>
        <w:spacing w:line="259" w:lineRule="auto" w:after="80"/>
        <w:ind w:left="360" w:hanging="360"/>
        <w:jc w:val="left"/>
      </w:pPr>
      <w:bookmarkStart w:id="95"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https://arxiv.org/abs/2506.10805</w:t>
        </w:r>
      </w:hyperlink>
      <w:bookmarkEnd w:id="95"/>
    </w:p>
    <w:p>
      <w:pPr>
        <w:pStyle w:val="Bibliography"/>
        <w:widowControl/>
        <w:spacing w:line="259" w:lineRule="auto" w:after="80"/>
        <w:ind w:left="360" w:hanging="360"/>
        <w:jc w:val="left"/>
      </w:pPr>
      <w:bookmarkStart w:id="97"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https://arxiv.org/abs/2602.15198</w:t>
        </w:r>
      </w:hyperlink>
      <w:bookmarkEnd w:id="97"/>
    </w:p>
    <w:p>
      <w:pPr>
        <w:pStyle w:val="Bibliography"/>
        <w:widowControl/>
        <w:spacing w:line="259" w:lineRule="auto" w:after="80"/>
        <w:ind w:left="360" w:hanging="360"/>
        <w:jc w:val="left"/>
      </w:pPr>
      <w:bookmarkStart w:id="99"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https://platform.openai.com/docs/models/gpt-5-nano</w:t>
        </w:r>
      </w:hyperlink>
      <w:bookmarkEnd w:id="99"/>
    </w:p>
    <w:p>
      <w:pPr>
        <w:pStyle w:val="Bibliography"/>
        <w:widowControl/>
        <w:spacing w:line="259" w:lineRule="auto" w:after="80"/>
        <w:ind w:left="360" w:hanging="360"/>
        <w:jc w:val="left"/>
      </w:pPr>
      <w:bookmarkStart w:id="101"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https://arxiv.org/abs/2508.10925</w:t>
        </w:r>
      </w:hyperlink>
      <w:bookmarkEnd w:id="101"/>
    </w:p>
    <w:p>
      <w:pPr>
        <w:pStyle w:val="Bibliography"/>
        <w:widowControl/>
        <w:spacing w:line="259" w:lineRule="auto" w:after="80"/>
        <w:ind w:left="360" w:hanging="360"/>
        <w:jc w:val="left"/>
      </w:pPr>
      <w:bookmarkStart w:id="103"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https://huggingface.co/openai/gpt-oss-20b</w:t>
        </w:r>
      </w:hyperlink>
      <w:bookmarkEnd w:id="103"/>
    </w:p>
    <w:p>
      <w:pPr>
        <w:pStyle w:val="Bibliography"/>
        <w:widowControl/>
        <w:spacing w:line="259" w:lineRule="auto" w:after="80"/>
        <w:ind w:left="360" w:hanging="360"/>
        <w:jc w:val="left"/>
      </w:pPr>
      <w:bookmarkStart w:id="105"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https://openrouter.ai/openai/gpt-6-luna-decisions</w:t>
        </w:r>
      </w:hyperlink>
      <w:bookmarkEnd w:id="105"/>
    </w:p>
    <w:p>
      <w:pPr>
        <w:pStyle w:val="Bibliography"/>
        <w:widowControl/>
        <w:spacing w:line="259" w:lineRule="auto" w:after="80"/>
        <w:ind w:left="360" w:hanging="360"/>
        <w:jc w:val="left"/>
      </w:pPr>
      <w:bookmarkStart w:id="107"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7"/>
    </w:p>
    <w:p>
      <w:pPr>
        <w:pStyle w:val="Bibliography"/>
        <w:widowControl/>
        <w:spacing w:line="259" w:lineRule="auto" w:after="80"/>
        <w:ind w:left="360" w:hanging="360"/>
        <w:jc w:val="left"/>
      </w:pPr>
      <w:bookmarkStart w:id="109"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https://arxiv.org/abs/2609.35576</w:t>
        </w:r>
      </w:hyperlink>
      <w:bookmarkEnd w:id="109"/>
    </w:p>
    <w:p>
      <w:pPr>
        <w:pStyle w:val="Bibliography"/>
        <w:widowControl/>
        <w:spacing w:line="259" w:lineRule="auto" w:after="80"/>
        <w:ind w:left="360" w:hanging="360"/>
        <w:jc w:val="left"/>
      </w:pPr>
      <w:bookmarkStart w:id="111"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https://huggingface.co/Qwen/Qwen3-32B</w:t>
        </w:r>
      </w:hyperlink>
      <w:bookmarkEnd w:id="111"/>
    </w:p>
    <w:p>
      <w:pPr>
        <w:pStyle w:val="Bibliography"/>
        <w:widowControl/>
        <w:spacing w:line="259" w:lineRule="auto" w:after="80"/>
        <w:ind w:left="360" w:hanging="360"/>
        <w:jc w:val="left"/>
      </w:pPr>
      <w:bookmarkStart w:id="113"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https://arxiv.org/abs/2605.29178</w:t>
        </w:r>
      </w:hyperlink>
      <w:bookmarkEnd w:id="113"/>
    </w:p>
    <w:p>
      <w:pPr>
        <w:pStyle w:val="Bibliography"/>
        <w:widowControl/>
        <w:spacing w:line="259" w:lineRule="auto" w:after="80"/>
        <w:ind w:left="360" w:hanging="360"/>
        <w:jc w:val="left"/>
      </w:pPr>
      <w:bookmarkStart w:id="115"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https://arxiv.org/abs/2604.01151</w:t>
        </w:r>
      </w:hyperlink>
      <w:bookmarkEnd w:id="115"/>
    </w:p>
    <w:p>
      <w:pPr>
        <w:pStyle w:val="Bibliography"/>
        <w:widowControl/>
        <w:spacing w:line="259" w:lineRule="auto" w:after="80"/>
        <w:ind w:left="360" w:hanging="360"/>
        <w:jc w:val="left"/>
      </w:pPr>
      <w:bookmarkStart w:id="117"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https://arxiv.org/abs/2607.06503</w:t>
        </w:r>
      </w:hyperlink>
      <w:bookmarkEnd w:id="117"/>
    </w:p>
    <w:p>
      <w:pPr>
        <w:pStyle w:val="Bibliography"/>
        <w:widowControl/>
        <w:spacing w:line="259" w:lineRule="auto" w:after="80"/>
        <w:ind w:left="360" w:hanging="360"/>
        <w:jc w:val="left"/>
      </w:pPr>
      <w:bookmarkStart w:id="119"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https://github.com/soham-padia/pre-sycophancy-study</w:t>
        </w:r>
      </w:hyperlink>
      <w:bookmarkEnd w:id="119"/>
    </w:p>
    <w:p>
      <w:pPr>
        <w:pStyle w:val="Bibliography"/>
        <w:widowControl/>
        <w:spacing w:line="259" w:lineRule="auto" w:after="80"/>
        <w:ind w:left="360" w:hanging="360"/>
        <w:jc w:val="left"/>
      </w:pPr>
      <w:bookmarkStart w:id="121"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https://arxiv.org/abs/2501.18837</w:t>
        </w:r>
      </w:hyperlink>
      <w:bookmarkEnd w:id="121"/>
    </w:p>
    <w:p>
      <w:pPr>
        <w:pStyle w:val="Bibliography"/>
        <w:widowControl/>
        <w:spacing w:line="259" w:lineRule="auto" w:after="80"/>
        <w:ind w:left="360" w:hanging="360"/>
        <w:jc w:val="left"/>
      </w:pPr>
      <w:bookmarkStart w:id="123"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https://arxiv.org/abs/2607.05132</w:t>
        </w:r>
      </w:hyperlink>
      <w:bookmarkEnd w:id="123"/>
    </w:p>
    <w:p>
      <w:pPr>
        <w:pStyle w:val="Bibliography"/>
        <w:widowControl/>
        <w:spacing w:line="259" w:lineRule="auto" w:after="80"/>
        <w:ind w:left="360" w:hanging="360"/>
        <w:jc w:val="left"/>
      </w:pPr>
      <w:bookmarkStart w:id="125"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https://arxiv.org/abs/2609.24967</w:t>
        </w:r>
      </w:hyperlink>
      <w:bookmarkEnd w:id="125"/>
    </w:p>
    <w:p>
      <w:pPr>
        <w:pStyle w:val="Bibliography"/>
        <w:widowControl/>
        <w:spacing w:line="259" w:lineRule="auto" w:after="80"/>
        <w:ind w:left="360" w:hanging="360"/>
        <w:jc w:val="left"/>
      </w:pPr>
      <w:bookmarkStart w:id="127"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https://arxiv.org/abs/2609.09090</w:t>
        </w:r>
      </w:hyperlink>
      <w:bookmarkEnd w:id="127"/>
    </w:p>
    <w:p>
      <w:pPr>
        <w:pStyle w:val="Bibliography"/>
        <w:widowControl/>
        <w:spacing w:line="259" w:lineRule="auto" w:after="80"/>
        <w:ind w:left="360" w:hanging="360"/>
        <w:jc w:val="left"/>
      </w:pPr>
      <w:bookmarkStart w:id="129"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https://arxiv.org/abs/2603.13940</w:t>
        </w:r>
      </w:hyperlink>
      <w:bookmarkEnd w:id="129"/>
    </w:p>
    <w:p>
      <w:pPr>
        <w:pStyle w:val="Bibliography"/>
        <w:widowControl/>
        <w:spacing w:line="259" w:lineRule="auto" w:after="80"/>
        <w:ind w:left="360" w:hanging="360"/>
        <w:jc w:val="left"/>
      </w:pPr>
      <w:bookmarkStart w:id="131"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https://arxiv.org/abs/2604.16824</w:t>
        </w:r>
      </w:hyperlink>
      <w:bookmarkEnd w:id="131"/>
    </w:p>
    <w:p>
      <w:pPr>
        <w:pStyle w:val="Bibliography"/>
        <w:widowControl/>
        <w:spacing w:line="259" w:lineRule="auto" w:after="80"/>
        <w:ind w:left="360" w:hanging="360"/>
        <w:jc w:val="left"/>
      </w:pPr>
      <w:bookmarkStart w:id="133"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https://arxiv.org/abs/2505.09388</w:t>
        </w:r>
      </w:hyperlink>
      <w:bookmarkEnd w:id="133"/>
    </w:p>
    <w:p>
      <w:pPr>
        <w:pStyle w:val="Bibliography"/>
        <w:widowControl/>
        <w:spacing w:line="259" w:lineRule="auto" w:after="80"/>
        <w:ind w:left="360" w:hanging="360"/>
        <w:jc w:val="left"/>
      </w:pPr>
      <w:bookmarkStart w:id="135"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https://arxiv.org/abs/2610.05295</w:t>
        </w:r>
      </w:hyperlink>
      <w:bookmarkEnd w:id="135"/>
    </w:p>
    <w:p>
      <w:pPr>
        <w:pStyle w:val="Bibliography"/>
        <w:widowControl/>
        <w:spacing w:line="259" w:lineRule="auto" w:after="80"/>
        <w:ind w:left="360" w:hanging="360"/>
        <w:jc w:val="left"/>
      </w:pPr>
      <w:bookmarkStart w:id="137"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6">
        <w:r>
          <w:rPr>
            <w:rStyle w:val="Hyperlink"/>
            <w:rFonts w:ascii="XCharter" w:hAnsi="XCharter" w:cs="XCharter" w:eastAsia="XCharter"/>
            <w:color w:val="000080"/>
            <w:sz w:val="22"/>
            <w:u w:val="none"/>
          </w:rPr>
          <w:t xml:space="preserve">https://arxiv.org/abs/2605.27593</w:t>
        </w:r>
      </w:hyperlink>
      <w:bookmarkEnd w:id="137"/>
    </w:p>
    <w:bookmarkEnd w:id="138"/>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9" w:name="_appendix"/>
      <w:r>
        <w:rPr>
          <w:rFonts w:ascii="Old Standard TT" w:hAnsi="Old Standard TT"/>
          <w:b/>
          <w:sz w:val="28"/>
        </w:rPr>
        <w:t xml:space="preserve">Appendix</w:t>
      </w:r>
      <w:bookmarkEnd w:id="139"/>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 (for the gpt-oss-20b per-call label, any public emission;</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d863e5dd50f3a2c5a9f9d67c38d6db1a7983c65"/>
      <w:r>
        <w:rPr>
          <w:rFonts w:ascii="Old Standard TT" w:hAnsi="Old Standard TT"/>
          <w:b/>
          <w:sz w:val="26"/>
        </w:rPr>
        <w:t xml:space="preserve">A. Limitations and Dual-Use / Ethical Considerations</w:t>
      </w:r>
      <w:bookmarkEnd w:id="140"/>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The per-call results are mostly follow-up analyses.</w:t>
      </w:r>
      <w:r>
        <w:rPr>
          <w:rFonts w:ascii="XCharter" w:hAnsi="XCharter" w:cs="XCharter" w:eastAsia="XCharter"/>
          <w:sz w:val="22"/>
        </w:rPr>
        <w:t xml:space="preserve"> </w:t>
      </w:r>
      <w:r>
        <w:rPr>
          <w:rFonts w:ascii="XCharter" w:hAnsi="XCharter" w:cs="XCharter" w:eastAsia="XCharter"/>
          <w:sz w:val="22"/>
        </w:rPr>
        <w:t xml:space="preserve">Only the gpt-oss-20b reasoning probe was confirmed on fresh episodes, on 26 leaking calls (0.905 [0.775, 0.991];</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 The last-prompt per-call results (Qwen3-32B 0.95, gpt-oss-20b 0.91) are unconfirmed.</w:t>
      </w:r>
    </w:p>
    <w:p>
      <w:pPr>
        <w:pStyle w:val="Compact"/>
        <w:widowControl/>
        <w:numPr>
          <w:ilvl w:val="0"/>
          <w:numId w:val="1004"/>
        </w:numPr>
        <w:spacing w:line="259" w:lineRule="auto" w:after="60"/>
        <w:jc w:val="left"/>
      </w:pPr>
      <w:r>
        <w:rPr>
          <w:rFonts w:ascii="XCharter" w:hAnsi="XCharter" w:cs="XCharter" w:eastAsia="XCharter"/>
          <w:i/>
          <w:iCs/>
          <w:sz w:val="22"/>
        </w:rPr>
        <w:t xml:space="preserve">Narrow setting.</w:t>
      </w:r>
      <w:r>
        <w:rPr>
          <w:rFonts w:ascii="XCharter" w:hAnsi="XCharter" w:cs="XCharter" w:eastAsia="XCharter"/>
          <w:sz w:val="22"/>
        </w:rPr>
        <w:t xml:space="preserve"> </w:t>
      </w:r>
      <w:r>
        <w:rPr>
          <w:rFonts w:ascii="XCharter" w:hAnsi="XCharter" w:cs="XCharter" w:eastAsia="XCharter"/>
          <w:sz w:val="22"/>
        </w:rPr>
        <w:t xml:space="preserve">Two models; six scenarios from one task template; synthetic tools and secrets; one peer and one target per episode. Larger multi-agent settings (several peers, recruited agents recruiting others, shared memory or boards) are not tested and are future work. Give-in rates and readability may differ elsewhere.</w:t>
      </w:r>
    </w:p>
    <w:p>
      <w:pPr>
        <w:pStyle w:val="Compact"/>
        <w:widowControl/>
        <w:numPr>
          <w:ilvl w:val="0"/>
          <w:numId w:val="1004"/>
        </w:numPr>
        <w:spacing w:line="259" w:lineRule="auto" w:after="60"/>
        <w:jc w:val="left"/>
      </w:pPr>
      <w:r>
        <w:rPr>
          <w:rFonts w:ascii="XCharter" w:hAnsi="XCharter" w:cs="XCharter" w:eastAsia="XCharter"/>
          <w:i/>
          <w:iCs/>
          <w:sz w:val="22"/>
        </w:rPr>
        <w:t xml:space="preserve">The warning is about the current call.</w:t>
      </w:r>
      <w:r>
        <w:rPr>
          <w:rFonts w:ascii="XCharter" w:hAnsi="XCharter" w:cs="XCharter" w:eastAsia="XCharter"/>
          <w:sz w:val="22"/>
        </w:rPr>
        <w:t xml:space="preserve"> </w:t>
      </w:r>
      <w:r>
        <w:rPr>
          <w:rFonts w:ascii="XCharter" w:hAnsi="XCharter" w:cs="XCharter" w:eastAsia="XCharter"/>
          <w:sz w:val="22"/>
        </w:rPr>
        <w:t xml:space="preserve">One call ahead is weaker (Qwen3-32B 0.71; on gpt-oss-20b mostly the protected-file read step), and there is no evidence of warning rounds ahead.</w:t>
      </w:r>
    </w:p>
    <w:p>
      <w:pPr>
        <w:pStyle w:val="Compact"/>
        <w:widowControl/>
        <w:numPr>
          <w:ilvl w:val="0"/>
          <w:numId w:val="1004"/>
        </w:numPr>
        <w:spacing w:line="259" w:lineRule="auto" w:after="60"/>
        <w:jc w:val="left"/>
      </w:pPr>
      <w:r>
        <w:rPr>
          <w:rFonts w:ascii="XCharter" w:hAnsi="XCharter" w:cs="XCharter" w:eastAsia="XCharter"/>
          <w:i/>
          <w:iCs/>
          <w:sz w:val="22"/>
        </w:rPr>
        <w:t xml:space="preserve">What the probe reads is unknown.</w:t>
      </w:r>
      <w:r>
        <w:rPr>
          <w:rFonts w:ascii="XCharter" w:hAnsi="XCharter" w:cs="XCharter" w:eastAsia="XCharter"/>
          <w:sz w:val="22"/>
        </w:rPr>
        <w:t xml:space="preserve"> </w:t>
      </w:r>
      <w:r>
        <w:rPr>
          <w:rFonts w:ascii="XCharter" w:hAnsi="XCharter" w:cs="XCharter" w:eastAsia="XCharter"/>
          <w:sz w:val="22"/>
        </w:rPr>
        <w:t xml:space="preserve">It survives the pressure, secret-string and read-step controls, but a probe on the incoming message and tool results alone reaches 0.93 (one seed), so much of the signal may reflect what just arrived rather than a decision.</w:t>
      </w:r>
    </w:p>
    <w:p>
      <w:pPr>
        <w:pStyle w:val="Compact"/>
        <w:widowControl/>
        <w:numPr>
          <w:ilvl w:val="0"/>
          <w:numId w:val="1004"/>
        </w:numPr>
        <w:spacing w:line="259" w:lineRule="auto" w:after="60"/>
        <w:jc w:val="left"/>
      </w:pPr>
      <w:r>
        <w:rPr>
          <w:rFonts w:ascii="XCharter" w:hAnsi="XCharter" w:cs="XCharter" w:eastAsia="XCharter"/>
          <w:i/>
          <w:iCs/>
          <w:sz w:val="22"/>
        </w:rPr>
        <w:t xml:space="preserve">Alarm costs.</w:t>
      </w:r>
      <w:r>
        <w:rPr>
          <w:rFonts w:ascii="XCharter" w:hAnsi="XCharter" w:cs="XCharter" w:eastAsia="XCharter"/>
          <w:sz w:val="22"/>
        </w:rPr>
        <w:t xml:space="preserve"> </w:t>
      </w:r>
      <w:r>
        <w:rPr>
          <w:rFonts w:ascii="XCharter" w:hAnsi="XCharter" w:cs="XCharter" w:eastAsia="XCharter"/>
          <w:sz w:val="22"/>
        </w:rPr>
        <w:t xml:space="preserve">At the 5% per-call control cutoff, 26% to 41% of refusing episodes get at least one alarm (26% on the new episodes, 41% in development); an episode-calibrated cutoff catches 34% of leaking episodes at 8%. A deployed alarm needs episode-level calibration.</w:t>
      </w:r>
    </w:p>
    <w:p>
      <w:pPr>
        <w:pStyle w:val="Compact"/>
        <w:widowControl/>
        <w:numPr>
          <w:ilvl w:val="0"/>
          <w:numId w:val="1004"/>
        </w:numPr>
        <w:spacing w:line="259" w:lineRule="auto" w:after="60"/>
        <w:jc w:val="left"/>
      </w:pPr>
      <w:r>
        <w:rPr>
          <w:rFonts w:ascii="XCharter" w:hAnsi="XCharter" w:cs="XCharter" w:eastAsia="XCharter"/>
          <w:i/>
          <w:iCs/>
          <w:sz w:val="22"/>
        </w:rPr>
        <w:t xml:space="preserve">The outcome label differs between models:</w:t>
      </w:r>
      <w:r>
        <w:rPr>
          <w:rFonts w:ascii="XCharter" w:hAnsi="XCharter" w:cs="XCharter" w:eastAsia="XCharter"/>
          <w:sz w:val="22"/>
        </w:rPr>
        <w:t xml:space="preserve"> </w:t>
      </w:r>
      <w:r>
        <w:rPr>
          <w:rFonts w:ascii="XCharter" w:hAnsi="XCharter" w:cs="XCharter" w:eastAsia="XCharter"/>
          <w:sz w:val="22"/>
        </w:rPr>
        <w:t xml:space="preserve">any public emission on gpt-oss-20b, whose first public act is almost always a file write, against the give-in rule on Qwen3-32B. The channel-rule check (0.94,</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mostly scores calls after an earlier file emission.</w:t>
      </w:r>
    </w:p>
    <w:p>
      <w:pPr>
        <w:pStyle w:val="Compact"/>
        <w:widowControl/>
        <w:numPr>
          <w:ilvl w:val="0"/>
          <w:numId w:val="1004"/>
        </w:numPr>
        <w:spacing w:line="259" w:lineRule="auto" w:after="60"/>
        <w:jc w:val="left"/>
      </w:pPr>
      <w:r>
        <w:rPr>
          <w:rFonts w:ascii="XCharter" w:hAnsi="XCharter" w:cs="XCharter" w:eastAsia="XCharter"/>
          <w:i/>
          <w:iCs/>
          <w:sz w:val="22"/>
        </w:rPr>
        <w:t xml:space="preserve">The text-monitor comparison is narrow:</w:t>
      </w:r>
      <w:r>
        <w:rPr>
          <w:rFonts w:ascii="XCharter" w:hAnsi="XCharter" w:cs="XCharter" w:eastAsia="XCharter"/>
          <w:sz w:val="22"/>
        </w:rPr>
        <w:t xml:space="preserve"> </w:t>
      </w:r>
      <w:r>
        <w:rPr>
          <w:rFonts w:ascii="XCharter" w:hAnsi="XCharter" w:cs="XCharter" w:eastAsia="XCharter"/>
          <w:sz w:val="22"/>
        </w:rPr>
        <w:t xml:space="preserve">one decision model (Jev), one question and one access level. On gpt-oss-20b its ranking is inverted; the probe still beats the reversed ranking (+0.18 [0.12, 0.23]).</w:t>
      </w:r>
    </w:p>
    <w:p>
      <w:pPr>
        <w:pStyle w:val="Compact"/>
        <w:widowControl/>
        <w:numPr>
          <w:ilvl w:val="0"/>
          <w:numId w:val="1004"/>
        </w:numPr>
        <w:spacing w:line="259" w:lineRule="auto" w:after="60"/>
        <w:jc w:val="left"/>
      </w:pPr>
      <w:r>
        <w:rPr>
          <w:rFonts w:ascii="XCharter" w:hAnsi="XCharter" w:cs="XCharter" w:eastAsia="XCharter"/>
          <w:i/>
          <w:iCs/>
          <w:sz w:val="22"/>
        </w:rPr>
        <w:t xml:space="preserve">Exact-string leaks only.</w:t>
      </w:r>
      <w:r>
        <w:rPr>
          <w:rFonts w:ascii="XCharter" w:hAnsi="XCharter" w:cs="XCharter" w:eastAsia="XCharter"/>
          <w:sz w:val="22"/>
        </w:rPr>
        <w:t xml:space="preserve"> </w:t>
      </w:r>
      <w:r>
        <w:rPr>
          <w:rFonts w:ascii="XCharter" w:hAnsi="XCharter" w:cs="XCharter" w:eastAsia="XCharter"/>
          <w:sz w:val="22"/>
        </w:rPr>
        <w:t xml:space="preserve">Paraphrased, encoded or semantic leaks were not tested, and an exact-string output filter would catch these leaks.</w:t>
      </w:r>
    </w:p>
    <w:p>
      <w:pPr>
        <w:pStyle w:val="Compact"/>
        <w:widowControl/>
        <w:numPr>
          <w:ilvl w:val="0"/>
          <w:numId w:val="1004"/>
        </w:numPr>
        <w:spacing w:line="259" w:lineRule="auto" w:after="60"/>
        <w:jc w:val="left"/>
      </w:pPr>
      <w:r>
        <w:rPr>
          <w:rFonts w:ascii="XCharter" w:hAnsi="XCharter" w:cs="XCharter" w:eastAsia="XCharter"/>
          <w:i/>
          <w:iCs/>
          <w:sz w:val="22"/>
        </w:rPr>
        <w:t xml:space="preserve">The round-level near-term label was chosen after the eventual label failed;</w:t>
      </w:r>
      <w:r>
        <w:rPr>
          <w:rFonts w:ascii="XCharter" w:hAnsi="XCharter" w:cs="XCharter" w:eastAsia="XCharter"/>
          <w:sz w:val="22"/>
        </w:rPr>
        <w:t xml:space="preserve"> </w:t>
      </w:r>
      <w:r>
        <w:rPr>
          <w:rFonts w:ascii="XCharter" w:hAnsi="XCharter" w:cs="XCharter" w:eastAsia="XCharter"/>
          <w:sz w:val="22"/>
        </w:rPr>
        <w:t xml:space="preserve">it was confirmed on 89 new episodes under a plan fixed in advance.</w:t>
      </w:r>
    </w:p>
    <w:p>
      <w:pPr>
        <w:pStyle w:val="Compact"/>
        <w:widowControl/>
        <w:numPr>
          <w:ilvl w:val="0"/>
          <w:numId w:val="1004"/>
        </w:numPr>
        <w:spacing w:line="259" w:lineRule="auto" w:after="60"/>
        <w:jc w:val="left"/>
      </w:pPr>
      <w:r>
        <w:rPr>
          <w:rFonts w:ascii="XCharter" w:hAnsi="XCharter" w:cs="XCharter" w:eastAsia="XCharter"/>
          <w:i/>
          <w:iCs/>
          <w:sz w:val="22"/>
        </w:rPr>
        <w:t xml:space="preserve">Smaller issues.</w:t>
      </w:r>
      <w:r>
        <w:rPr>
          <w:rFonts w:ascii="XCharter" w:hAnsi="XCharter" w:cs="XCharter" w:eastAsia="XCharter"/>
          <w:sz w:val="22"/>
        </w:rPr>
        <w:t xml:space="preserve"> </w:t>
      </w:r>
      <w:r>
        <w:rPr>
          <w:rFonts w:ascii="XCharter" w:hAnsi="XCharter" w:cs="XCharter" w:eastAsia="XCharter"/>
          <w:sz w:val="22"/>
        </w:rPr>
        <w:t xml:space="preserve">Uneven scenarios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automated judges (</w:t>
      </w:r>
      <w:r>
        <w:rPr>
          <w:rFonts w:ascii="XCharter" w:hAnsi="XCharter" w:cs="XCharter" w:eastAsia="XCharter"/>
          <w:sz w:val="22"/>
        </w:rPr>
        <w:t xml:space="preserve">κ</w:t>
      </w:r>
      <w:r>
        <w:rPr>
          <w:rFonts w:ascii="XCharter" w:hAnsi="XCharter" w:cs="XCharter" w:eastAsia="XCharter"/>
          <w:sz w:val="22"/>
        </w:rPr>
        <w:t xml:space="preserve"> = 0.79 against the author’s blind labels); pooled cross-validation compares probes across folds (same-fold check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possible optimism in the combination test, because its probe input comes from overlapping fold probes; scoring-window edges (at the round level, a give-in in the first call after the read leaves no call to score); accidental disclosures count as give-ins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setup is not a reproduction of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that a probe reads single calls tells an attacker that spreading pressure across calls, or leaking through paraphrase or an encoding, may avoid per-call probes,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 Probes on the target’s activations could add an earlier warning on top of such a filter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41" w:name="_1c2832545d6be5937b2db194f5b1e2f4105b9d9"/>
      <w:r>
        <w:rPr>
          <w:rFonts w:ascii="Old Standard TT" w:hAnsi="Old Standard TT"/>
          <w:b/>
          <w:sz w:val="26"/>
        </w:rPr>
        <w:t xml:space="preserve">B. Experimental Pipeline and Reproducibility</w:t>
      </w:r>
      <w:bookmarkEnd w:id="141"/>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3" name="Picture"/>
            <a:graphic>
              <a:graphicData uri="http://schemas.openxmlformats.org/drawingml/2006/picture">
                <pic:pic>
                  <pic:nvPicPr>
                    <pic:cNvPr descr="figures/pipeline.png" id="144" name="Picture"/>
                    <pic:cNvPicPr>
                      <a:picLocks noChangeArrowheads="1" noChangeAspect="1"/>
                    </pic:cNvPicPr>
                  </pic:nvPicPr>
                  <pic:blipFill>
                    <a:blip r:embed="rId142"/>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5"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29f519cfe2b273e1f41de0c770c5dd81f1818a5"/>
      <w:r>
        <w:rPr>
          <w:rFonts w:ascii="Old Standard TT" w:hAnsi="Old Standard TT"/>
          <w:b/>
          <w:sz w:val="26"/>
        </w:rPr>
        <w:t xml:space="preserve">C. Scenarios, an Example, and Model Choice</w:t>
      </w:r>
      <w:bookmarkEnd w:id="146"/>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7"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7"/>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refuse-then-give-in.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8" w:name="_9af0a0be73df5a4a2132a3bbde2a7aaba8a9fb7"/>
      <w:r>
        <w:rPr>
          <w:rFonts w:ascii="Old Standard TT" w:hAnsi="Old Standard TT"/>
          <w:b/>
          <w:sz w:val="26"/>
        </w:rPr>
        <w:t xml:space="preserve">D. Labels and Judges</w:t>
      </w:r>
      <w:bookmarkEnd w:id="148"/>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gpt-oss-20b’s round-level labels only a channel post counts, and any earlier public emission ends the window; its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the 98 first channel leaks of the plain-peer behaviour slice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16e1c949c1569f7f4050c474671b93e6b4d1bae"/>
      <w:r>
        <w:rPr>
          <w:rFonts w:ascii="Old Standard TT" w:hAnsi="Old Standard TT"/>
          <w:b/>
          <w:sz w:val="26"/>
        </w:rPr>
        <w:t xml:space="preserve">E. Detectors and Evaluation</w:t>
      </w:r>
      <w:bookmarkEnd w:id="149"/>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call.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probe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(logistic regression on residual-stream activations);</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asking about any later point in the episode, as their code also does.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50"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5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possible optimism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10);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Calls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2" name="Picture"/>
            <a:graphic>
              <a:graphicData uri="http://schemas.openxmlformats.org/drawingml/2006/picture">
                <pic:pic>
                  <pic:nvPicPr>
                    <pic:cNvPr descr="figures/figure_monitor_design.png" id="153" name="Picture"/>
                    <pic:cNvPicPr>
                      <a:picLocks noChangeArrowheads="1" noChangeAspect="1"/>
                    </pic:cNvPicPr>
                  </pic:nvPicPr>
                  <pic:blipFill>
                    <a:blip r:embed="rId151"/>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4"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5"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5"/>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(+0.123 [0.06, 0.18] for adding the conversation to the Jev forecaster, and +0.03 [−0.00, 0.05] for adding everything else the target saw)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e774c98102b53efba7d6294684718b8ff2eaeba"/>
      <w:r>
        <w:rPr>
          <w:rFonts w:ascii="Old Standard TT" w:hAnsi="Old Standard TT"/>
          <w:b/>
          <w:sz w:val="26"/>
        </w:rPr>
        <w:t xml:space="preserve">F. Second Target: gpt-oss-20b (and Gemma-4-31B)</w:t>
      </w:r>
      <w:bookmarkEnd w:id="156"/>
    </w:p>
    <w:p>
      <w:pPr>
        <w:pStyle w:val="FirstParagraph"/>
        <w:widowControl/>
        <w:spacing w:after="0" w:line="259" w:lineRule="auto"/>
        <w:ind w:firstLine="0"/>
        <w:jc w:val="both"/>
      </w:pPr>
      <w:r>
        <w:rPr>
          <w:rFonts w:ascii="XCharter" w:hAnsi="XCharter" w:cs="XCharter" w:eastAsia="XCharter"/>
          <w:i/>
          <w:iCs/>
          <w:sz w:val="22"/>
        </w:rPr>
        <w:t xml:space="preserve">Does the setup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This appendix gives round-level results; per-call results are in</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operator policy and the tool-log procedure; the labels and the within scenario × round metric; the detector recipes; and the matched controls. Changed for gpt-oss: the scored endpoint (Qwen give-ins also count file writes outside the private file in five scenarios; gpt-oss round-level labels count channel posts only,</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refuse,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For the round-level labels, the scored give-in is the complete value posted to the channel; the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In the full collection, 200 of the 300 recruiting episodes emitted the value publicly; their first public disclosure, a file write in 196 of the 200,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Calls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7"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7"/>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190f1226d051d30d3bf4384ba25f172a7a45b0c"/>
      <w:r>
        <w:rPr>
          <w:rFonts w:ascii="Old Standard TT" w:hAnsi="Old Standard TT"/>
          <w:b/>
          <w:sz w:val="26"/>
        </w:rPr>
        <w:t xml:space="preserve">G. Behaviour Screening</w:t>
      </w:r>
      <w:bookmarkEnd w:id="158"/>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9"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60" w:name="_4113352bd13d302125766053daea31ad42500bd"/>
      <w:r>
        <w:rPr>
          <w:rFonts w:ascii="Old Standard TT" w:hAnsi="Old Standard TT"/>
          <w:b/>
          <w:sz w:val="26"/>
        </w:rPr>
        <w:t xml:space="preserve">H. Robustness and Diagnostics for the Round-Level Results</w:t>
      </w:r>
      <w:bookmarkEnd w:id="160"/>
    </w:p>
    <w:p>
      <w:pPr>
        <w:pStyle w:val="FirstParagraph"/>
        <w:widowControl/>
        <w:spacing w:after="0" w:line="259" w:lineRule="auto"/>
        <w:ind w:firstLine="0"/>
        <w:jc w:val="both"/>
      </w:pPr>
      <w:r>
        <w:rPr>
          <w:rFonts w:ascii="XCharter" w:hAnsi="XCharter" w:cs="XCharter" w:eastAsia="XCharter"/>
          <w:i/>
          <w:iCs/>
          <w:sz w:val="22"/>
        </w:rPr>
        <w:t xml:space="preserve">Do the round-level results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61"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2"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3"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5" name="Picture"/>
            <a:graphic>
              <a:graphicData uri="http://schemas.openxmlformats.org/drawingml/2006/picture">
                <pic:pic>
                  <pic:nvPicPr>
                    <pic:cNvPr descr="figures/appendix_h_layers.png" id="166" name="Picture"/>
                    <pic:cNvPicPr>
                      <a:picLocks noChangeArrowheads="1" noChangeAspect="1"/>
                    </pic:cNvPicPr>
                  </pic:nvPicPr>
                  <pic:blipFill>
                    <a:blip r:embed="rId164"/>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7"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7"/>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889344895f04d1f9f75d0ebcc55c0e9d025ecfb"/>
      <w:r>
        <w:rPr>
          <w:rFonts w:ascii="Old Standard TT" w:hAnsi="Old Standard TT"/>
          <w:b/>
          <w:sz w:val="26"/>
        </w:rPr>
        <w:t xml:space="preserve">I. Prompts</w:t>
      </w:r>
      <w:bookmarkEnd w:id="168"/>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33bf1cd3074762475a7470d90c6bbd938fdac44"/>
      <w:r>
        <w:rPr>
          <w:rFonts w:ascii="Old Standard TT" w:hAnsi="Old Standard TT"/>
          <w:b/>
          <w:sz w:val="26"/>
        </w:rPr>
        <w:t xml:space="preserve">I.1 Target agent (Qwen3-32B and gpt-oss-20b)</w:t>
      </w:r>
      <w:bookmarkEnd w:id="169"/>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d7ac7fb6a629ef29d896d387aeb1cbdff09ae31"/>
      <w:r>
        <w:rPr>
          <w:rFonts w:ascii="Old Standard TT" w:hAnsi="Old Standard TT"/>
          <w:b/>
          <w:sz w:val="26"/>
        </w:rPr>
        <w:t xml:space="preserve">I.2 Peer agent, Qwen3-32B episodes (DeepSeek-V4-Flash)</w:t>
      </w:r>
      <w:bookmarkEnd w:id="170"/>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20ca0bd4e22b8907b745ffe52788f85136b39d1"/>
      <w:r>
        <w:rPr>
          <w:rFonts w:ascii="Old Standard TT" w:hAnsi="Old Standard TT"/>
          <w:b/>
          <w:sz w:val="26"/>
        </w:rPr>
        <w:t xml:space="preserve">I.3 Peer agent, gpt-oss-20b episodes (DeepSeek-V4-Pro)</w:t>
      </w:r>
      <w:bookmarkEnd w:id="171"/>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f002de876b18b98d7718a6bd3deb30b9403007e"/>
      <w:r>
        <w:rPr>
          <w:rFonts w:ascii="Old Standard TT" w:hAnsi="Old Standard TT"/>
          <w:b/>
          <w:sz w:val="26"/>
        </w:rPr>
        <w:t xml:space="preserve">I.4 Text monitors</w:t>
      </w:r>
      <w:bookmarkEnd w:id="172"/>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9c1464226db10cf5b2f811ceea16efe8dd113a9"/>
      <w:r>
        <w:rPr>
          <w:rFonts w:ascii="Old Standard TT" w:hAnsi="Old Standard TT"/>
          <w:b/>
          <w:sz w:val="26"/>
        </w:rPr>
        <w:t xml:space="preserve">J. A Scaled Follow-Up Study: Design and Decision Criteria</w:t>
      </w:r>
      <w:bookmarkEnd w:id="173"/>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round-level finding that the best monitor edges the probe.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round-level prediction rises above chance with a longer window, the limit lies in the setting, not the model; if not,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leave the causal interpretation unresolved.</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go beyond the shared template, with more varied and more realistic scenarios covering more situations (different tasks, tools and kinds of protected value), four or more target models, and multi-agent settings with several peers, shared boards or memory,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per-call predictability that holds on four or more models and in multi-agent settings would support a general claim; if it fails beyond our two targets, it is specific to them.</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at the round level every detector catches at most a tenth of give-ins at a 5% refusing-episode false-alarm rate (App. H); per call, alarms fire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As a rough illustrative estimate, a locked test with about 330 near-term positives would narrow them to about ±0.04, which may help separate detectors that differ by about 0.05.</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527a2614b0d9aee1dd56ba38d518b45bdf577b0"/>
      <w:r>
        <w:rPr>
          <w:rFonts w:ascii="Old Standard TT" w:hAnsi="Old Standard TT"/>
          <w:b/>
          <w:sz w:val="26"/>
        </w:rPr>
        <w:t xml:space="preserve">K. Related Work in Full</w:t>
      </w:r>
      <w:bookmarkEnd w:id="174"/>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three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and jailbreak success</w:t>
      </w:r>
      <w:r>
        <w:rPr>
          <w:rFonts w:ascii="XCharter" w:hAnsi="XCharter" w:cs="XCharter" w:eastAsia="XCharter"/>
          <w:sz w:val="22"/>
        </w:rPr>
        <w:t xml:space="preserve"> </w:t>
      </w:r>
      <w:r>
        <w:rPr>
          <w:rFonts w:ascii="XCharter" w:hAnsi="XCharter" w:cs="XCharter" w:eastAsia="XCharter"/>
          <w:sz w:val="22"/>
        </w:rPr>
        <w:t xml:space="preserve">(</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 and probes on hidden states plus the current tool predict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actions in a task-authorization conflict, with authorized look-alike actions as negatives, text monitors given the same information, frozen tests, interventions and an analysis of how far ahead prediction works; their decision-point AUROC against all negatives is highest after reasoning, and text monitors match or beat internal states against authorized look-alikes and against all their negatives, though not in every condition.</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branch agents from identical prompt-injection exposure states, so that the same state can comply or resist, and find early probes do not reliably beat text baselines.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already forecast unauthorized or injected actions from internal states and text before they occur; we ask it of an agent pressed by a peer, with probes and text monitors scored on the same calls and the same question asked at different distances from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175" w:name="_4eebb92370222c9c8f01ec8125bb39dc064483d"/>
      <w:r>
        <w:rPr>
          <w:rFonts w:ascii="Old Standard TT" w:hAnsi="Old Standard TT"/>
          <w:b/>
          <w:sz w:val="26"/>
        </w:rPr>
        <w:t xml:space="preserve">L. Per-call and Streaming Probes</w:t>
      </w:r>
      <w:bookmarkEnd w:id="175"/>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round-level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0fdfa08c8aa9ffbf1d598022d2903121bf1f3a9"/>
      <w:r>
        <w:rPr>
          <w:rFonts w:ascii="Old Standard TT" w:hAnsi="Old Standard TT"/>
          <w:b/>
          <w:sz w:val="26"/>
        </w:rPr>
        <w:t xml:space="preserve">L.1 The gpt-oss-20b reasoning probe: design and development results</w:t>
      </w:r>
      <w:bookmarkEnd w:id="176"/>
    </w:p>
    <w:p>
      <w:pPr>
        <w:pStyle w:val="FirstParagraph"/>
        <w:widowControl/>
        <w:spacing w:after="0" w:line="259" w:lineRule="auto"/>
        <w:ind w:firstLine="0"/>
        <w:jc w:val="both"/>
      </w:pPr>
      <w:r>
        <w:rPr>
          <w:rFonts w:ascii="XCharter" w:hAnsi="XCharter" w:cs="XCharter" w:eastAsia="XCharter"/>
          <w:sz w:val="22"/>
        </w:rPr>
        <w:t xml:space="preserve">This section gives the development results for the streaming reasoning probe of</w:t>
      </w:r>
      <w:r>
        <w:rPr>
          <w:rFonts w:ascii="XCharter" w:hAnsi="XCharter" w:cs="XCharter" w:eastAsia="XCharter"/>
          <w:sz w:val="22"/>
        </w:rPr>
        <w:t xml:space="preserv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They are labelled exploratory because the probe was designed after the round-level results; the confirmed number is the frozen test on 84 new episodes (L.5).</w:t>
      </w:r>
    </w:p>
    <w:p>
      <w:pPr>
        <w:pStyle w:val="BodyText"/>
        <w:widowControl/>
        <w:spacing w:after="0" w:line="259" w:lineRule="auto"/>
        <w:ind w:firstLine="36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The last-prompt probe reads one position per call.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round-level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round-level near-term label differs in three ways: it concerns a channel leak; it marks the eligible calls before the leak, in the leak’s round or the one before; and the round-level probe reads one position per call, the last prompt token, before any reasoning. The near-term comparator below uses that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round-level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round-level gpt-oss last-prompt probe, applied without refitting (it was trained on the channel near-term label). Two text monitors, run differently from the round-level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7"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(round-level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L.3’s last-prompt probe refit on this label (0.906; 1.6% of refusing calls alarm). L.2’s incoming-message probe also ranks well (0.927, but 19.1% of refusing calls alarm against 4.4%; one seed, reduced recipe).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call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round-level results, uses one model, and tried several variants (two aggregates, two cuts, two splits); it was confirmed only once, on 26 leaking calls (L.5). The label is any public emission, not the give-in outcome. What the probe reads within the call is not established (L.4); it predicts this call’s action before output, not calls ahead.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7a58329c2353e56a5bd1d72f28e42872a37757f"/>
      <w:r>
        <w:rPr>
          <w:rFonts w:ascii="Old Standard TT" w:hAnsi="Old Standard TT"/>
          <w:b/>
          <w:sz w:val="26"/>
        </w:rPr>
        <w:t xml:space="preserve">L.2 Expanded capture: incoming messages and action-time tokens</w:t>
      </w:r>
      <w:bookmarkEnd w:id="178"/>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9"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(call lead 0), so the warning concerns the leaking call itself, not earlier calls.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0" w:name="_a84b69b1f04b116b25a2e9fee2854a691cd8854"/>
      <w:r>
        <w:rPr>
          <w:rFonts w:ascii="Old Standard TT" w:hAnsi="Old Standard TT"/>
          <w:b/>
          <w:sz w:val="26"/>
        </w:rPr>
        <w:t xml:space="preserve">L.3 Per-call last-prompt probes on both models (post hoc)</w:t>
      </w:r>
      <w:bookmarkEnd w:id="180"/>
    </w:p>
    <w:p>
      <w:pPr>
        <w:pStyle w:val="FirstParagraph"/>
        <w:widowControl/>
        <w:spacing w:after="0" w:line="259" w:lineRule="auto"/>
        <w:ind w:firstLine="0"/>
        <w:jc w:val="both"/>
      </w:pPr>
      <w:r>
        <w:rPr>
          <w:rFonts w:ascii="XCharter" w:hAnsi="XCharter" w:cs="XCharter" w:eastAsia="XCharter"/>
          <w:sz w:val="22"/>
        </w:rPr>
        <w:t xml:space="preserve">The round-level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The Qwen3-32B per-call cohort is the 4,697 round-level calls, plus the 101 first qualifying disclosures, plus 46 calls recovered by corrected cutoffs (40 negatives; 6 dispatch-scenario positives before its actual public disclosure) = 4,844; eventual positives 998 + 101 + 6 = 1,105, near-term 250 − 1 + 101 + 2 = 352. The gpt-oss-20b cohort is 2,059 + 146 first public emissions = 2,205, minus 210 calls with empty reasoning = 1,995 (121 positives) (</w:t>
      </w:r>
      <w:r>
        <w:rPr>
          <w:rStyle w:val="VerbatimChar"/>
          <w:rFonts w:ascii="XCharter" w:hAnsi="XCharter" w:cs="XCharter" w:eastAsia="XCharter"/>
          <w:sz w:val="22"/>
        </w:rPr>
        <w:t xml:space="preserve">runs/20261026-1626-cohort-transition</w:t>
      </w:r>
      <w:r>
        <w:rPr>
          <w:rFonts w:ascii="XCharter" w:hAnsi="XCharter" w:cs="XCharter" w:eastAsia="XCharter"/>
          <w:sz w:val="22"/>
        </w:rPr>
        <w:t xml:space="preserve">).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of these, only the near-term result (0.579) was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81" w:name="_8ce8413e36bee0c123bcc62a0f71b4050680895"/>
      <w:r>
        <w:rPr>
          <w:rFonts w:ascii="Old Standard TT" w:hAnsi="Old Standard TT"/>
          <w:b/>
          <w:sz w:val="26"/>
        </w:rPr>
        <w:t xml:space="preserve">L.4 Checks on the per-call signal</w:t>
      </w:r>
      <w:bookmarkEnd w:id="181"/>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3" name="Picture"/>
            <a:graphic>
              <a:graphicData uri="http://schemas.openxmlformats.org/drawingml/2006/picture">
                <pic:pic>
                  <pic:nvPicPr>
                    <pic:cNvPr descr="figures/figure3b_appendix_checks.png" id="184" name="Picture"/>
                    <pic:cNvPicPr>
                      <a:picLocks noChangeArrowheads="1" noChangeAspect="1"/>
                    </pic:cNvPicPr>
                  </pic:nvPicPr>
                  <pic:blipFill>
                    <a:blip r:embed="rId182"/>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5"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5"/>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of the 101 scored per-call give-ins, those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6" w:name="_c8f297a0d9ce8278545a005f22685cbf9f1c60b"/>
      <w:r>
        <w:rPr>
          <w:rFonts w:ascii="Old Standard TT" w:hAnsi="Old Standard TT"/>
          <w:b/>
          <w:sz w:val="26"/>
        </w:rPr>
        <w:t xml:space="preserve">L.5 Frozen confirmation on new gpt-oss-20b episodes</w:t>
      </w:r>
      <w:bookmarkEnd w:id="186"/>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round-level near-term label (mismatched)</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7" w:name="_9b13fd5fc1ec2693fdfc2d237378b7ba584bceb"/>
      <w:r>
        <w:rPr>
          <w:rFonts w:ascii="Old Standard TT" w:hAnsi="Old Standard TT"/>
          <w:b/>
          <w:sz w:val="26"/>
        </w:rPr>
        <w:t xml:space="preserve">L.6 Figure 2, full caption</w:t>
      </w:r>
      <w:bookmarkEnd w:id="187"/>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 decision-model monitor (Jev) given the same material does reasonably on Qwen3-32B but far below the probe, and on gpt-oss-20b ranks the leaking calls below the others. This analysis is exploratory and was designed after the round-level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refusing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matched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without the give-in calls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L.3).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8" w:name="_cb9581af10cbdf668d14e9255457c76a376db3f"/>
      <w:r>
        <w:rPr>
          <w:rFonts w:ascii="Old Standard TT" w:hAnsi="Old Standard TT"/>
          <w:b/>
          <w:sz w:val="28"/>
        </w:rPr>
        <w:t xml:space="preserve">LLM Usage Statement</w:t>
      </w:r>
      <w:bookmarkEnd w:id="188"/>
    </w:p>
    <w:p>
      <w:pPr>
        <w:pStyle w:val="FirstParagraph"/>
        <w:widowControl/>
        <w:spacing w:after="0" w:line="259" w:lineRule="auto"/>
        <w:ind w:firstLine="0"/>
        <w:jc w:val="both"/>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w:t>
      </w:r>
      <w:r>
        <w:rPr>
          <w:rFonts w:ascii="XCharter" w:hAnsi="XCharter" w:cs="XCharter" w:eastAsia="XCharter"/>
          <w:sz w:val="22"/>
        </w:rPr>
        <w:t xml:space="preserve"> </w:t>
      </w:r>
      <w:hyperlink r:id="rId189">
        <w:r>
          <w:rPr>
            <w:rStyle w:val="Hyperlink"/>
            <w:rFonts w:ascii="XCharter" w:hAnsi="XCharter" w:cs="XCharter" w:eastAsia="XCharter"/>
            <w:color w:val="000080"/>
            <w:sz w:val="22"/>
            <w:u w:val="none"/>
          </w:rPr>
          <w:t xml:space="preserve">Aboard</w:t>
        </w:r>
      </w:hyperlink>
      <w:r>
        <w:rPr>
          <w:rFonts w:ascii="XCharter" w:hAnsi="XCharter" w:cs="XCharter" w:eastAsia="XCharter"/>
          <w:sz w:val="22"/>
        </w:rPr>
        <w:t xml:space="preserve">, a shared message board on which the author assigned, reviewed and tracked work across agent sessions, and</w:t>
      </w:r>
      <w:r>
        <w:rPr>
          <w:rFonts w:ascii="XCharter" w:hAnsi="XCharter" w:cs="XCharter" w:eastAsia="XCharter"/>
          <w:sz w:val="22"/>
        </w:rPr>
        <w:t xml:space="preserve"> </w:t>
      </w:r>
      <w:hyperlink r:id="rId190">
        <w:r>
          <w:rPr>
            <w:rStyle w:val="Hyperlink"/>
            <w:rFonts w:ascii="XCharter" w:hAnsi="XCharter" w:cs="XCharter" w:eastAsia="XCharter"/>
            <w:color w:val="000080"/>
            <w:sz w:val="22"/>
            <w:u w:val="none"/>
          </w:rPr>
          <w:t xml:space="preserve">Leaf</w:t>
        </w:r>
      </w:hyperlink>
      <w:r>
        <w:rPr>
          <w:rFonts w:ascii="XCharter" w:hAnsi="XCharter" w:cs="XCharter" w:eastAsia="XCharter"/>
          <w:sz w:val="22"/>
        </w:rPr>
        <w:t xml:space="preserve">,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footerReference w:type="default" r:id="rId9"/>
      <w:pgSz w:h="15840" w:w="12240" w:orient="portrait"/>
      <w:pgMar w:bottom="1296" w:top="1296" w:left="1296" w:right="1296" w:header="720" w:footer="576"/>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ind w:firstLine="0" w:left="0" w:right="0"/>
      <w:jc w:val="center"/>
    </w:pPr>
    <w:fldSimple w:instr="PAGE">
      <w:r>
        <w:rPr>
          <w:rFonts w:ascii="XCharter" w:hAnsi="XCharter"/>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4" Type="http://schemas.openxmlformats.org/officeDocument/2006/relationships/image" Target="media/rId164.png"/><Relationship Id="rId17" Type="http://schemas.openxmlformats.org/officeDocument/2006/relationships/image" Target="media/rId17.png"/><Relationship Id="rId34" Type="http://schemas.openxmlformats.org/officeDocument/2006/relationships/image" Target="media/rId34.png"/><Relationship Id="rId28" Type="http://schemas.openxmlformats.org/officeDocument/2006/relationships/image" Target="media/rId28.png"/><Relationship Id="rId182" Type="http://schemas.openxmlformats.org/officeDocument/2006/relationships/image" Target="media/rId182.png"/><Relationship Id="rId151" Type="http://schemas.openxmlformats.org/officeDocument/2006/relationships/image" Target="media/rId151.png"/><Relationship Id="rId142" Type="http://schemas.openxmlformats.org/officeDocument/2006/relationships/image" Target="media/rId142.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8" Type="http://schemas.openxmlformats.org/officeDocument/2006/relationships/hyperlink" Target="https://arxiv.org/abs/2410.00031" TargetMode="External"/><Relationship Id="rId82" Type="http://schemas.openxmlformats.org/officeDocument/2006/relationships/hyperlink" Target="https://arxiv.org/abs/2411.03343" TargetMode="External"/><Relationship Id="rId120"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2" Type="http://schemas.openxmlformats.org/officeDocument/2006/relationships/hyperlink" Target="https://arxiv.org/abs/2505.09388" TargetMode="External"/><Relationship Id="rId94"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100"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6"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6" Type="http://schemas.openxmlformats.org/officeDocument/2006/relationships/hyperlink" Target="https://arxiv.org/abs/2602.15198" TargetMode="External"/><Relationship Id="rId128" Type="http://schemas.openxmlformats.org/officeDocument/2006/relationships/hyperlink" Target="https://arxiv.org/abs/2603.13940" TargetMode="External"/><Relationship Id="rId114" Type="http://schemas.openxmlformats.org/officeDocument/2006/relationships/hyperlink" Target="https://arxiv.org/abs/2604.01151" TargetMode="External"/><Relationship Id="rId130" Type="http://schemas.openxmlformats.org/officeDocument/2006/relationships/hyperlink" Target="https://arxiv.org/abs/2604.16824" TargetMode="External"/><Relationship Id="rId136" Type="http://schemas.openxmlformats.org/officeDocument/2006/relationships/hyperlink" Target="https://arxiv.org/abs/2605.27593" TargetMode="External"/><Relationship Id="rId112" Type="http://schemas.openxmlformats.org/officeDocument/2006/relationships/hyperlink" Target="https://arxiv.org/abs/2605.29178" TargetMode="External"/><Relationship Id="rId84"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2" Type="http://schemas.openxmlformats.org/officeDocument/2006/relationships/hyperlink" Target="https://arxiv.org/abs/2607.05132" TargetMode="External"/><Relationship Id="rId116"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6" Type="http://schemas.openxmlformats.org/officeDocument/2006/relationships/hyperlink" Target="https://arxiv.org/abs/2609.09090" TargetMode="External"/><Relationship Id="rId124" Type="http://schemas.openxmlformats.org/officeDocument/2006/relationships/hyperlink" Target="https://arxiv.org/abs/2609.24967" TargetMode="External"/><Relationship Id="rId108"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4"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80" Type="http://schemas.openxmlformats.org/officeDocument/2006/relationships/hyperlink" Target="https://arxiv.org/abs/2610.24048"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9" Type="http://schemas.openxmlformats.org/officeDocument/2006/relationships/hyperlink" Target="https://github.com/leonidas1712/aboard" TargetMode="External"/><Relationship Id="rId190" Type="http://schemas.openxmlformats.org/officeDocument/2006/relationships/hyperlink" Target="https://github.com/leonidas1712/leaf" TargetMode="External"/><Relationship Id="rId118" Type="http://schemas.openxmlformats.org/officeDocument/2006/relationships/hyperlink" Target="https://github.com/soham-padia/pre-sycophancy-study" TargetMode="External"/><Relationship Id="rId110" Type="http://schemas.openxmlformats.org/officeDocument/2006/relationships/hyperlink" Target="https://huggingface.co/Qwen/Qwen3-32B" TargetMode="External"/><Relationship Id="rId102" Type="http://schemas.openxmlformats.org/officeDocument/2006/relationships/hyperlink" Target="https://huggingface.co/openai/gpt-oss-20b" TargetMode="External"/><Relationship Id="rId106"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4" Type="http://schemas.openxmlformats.org/officeDocument/2006/relationships/hyperlink" Target="https://openrouter.ai/openai/gpt-6-luna-decisions" TargetMode="External"/><Relationship Id="rId98"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2"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90" Type="http://schemas.openxmlformats.org/officeDocument/2006/relationships/hyperlink" Target="https://www.usenix.org/conference/usenixsecurity24/presentation/liu-yupei" TargetMode="Externa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8" Type="http://schemas.openxmlformats.org/officeDocument/2006/relationships/hyperlink" Target="https://arxiv.org/abs/2410.00031" TargetMode="External"/><Relationship Id="rId82" Type="http://schemas.openxmlformats.org/officeDocument/2006/relationships/hyperlink" Target="https://arxiv.org/abs/2411.03343" TargetMode="External"/><Relationship Id="rId120"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2" Type="http://schemas.openxmlformats.org/officeDocument/2006/relationships/hyperlink" Target="https://arxiv.org/abs/2505.09388" TargetMode="External"/><Relationship Id="rId94"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100"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6"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6" Type="http://schemas.openxmlformats.org/officeDocument/2006/relationships/hyperlink" Target="https://arxiv.org/abs/2602.15198" TargetMode="External"/><Relationship Id="rId128" Type="http://schemas.openxmlformats.org/officeDocument/2006/relationships/hyperlink" Target="https://arxiv.org/abs/2603.13940" TargetMode="External"/><Relationship Id="rId114" Type="http://schemas.openxmlformats.org/officeDocument/2006/relationships/hyperlink" Target="https://arxiv.org/abs/2604.01151" TargetMode="External"/><Relationship Id="rId130" Type="http://schemas.openxmlformats.org/officeDocument/2006/relationships/hyperlink" Target="https://arxiv.org/abs/2604.16824" TargetMode="External"/><Relationship Id="rId136" Type="http://schemas.openxmlformats.org/officeDocument/2006/relationships/hyperlink" Target="https://arxiv.org/abs/2605.27593" TargetMode="External"/><Relationship Id="rId112" Type="http://schemas.openxmlformats.org/officeDocument/2006/relationships/hyperlink" Target="https://arxiv.org/abs/2605.29178" TargetMode="External"/><Relationship Id="rId84"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2" Type="http://schemas.openxmlformats.org/officeDocument/2006/relationships/hyperlink" Target="https://arxiv.org/abs/2607.05132" TargetMode="External"/><Relationship Id="rId116"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6" Type="http://schemas.openxmlformats.org/officeDocument/2006/relationships/hyperlink" Target="https://arxiv.org/abs/2609.09090" TargetMode="External"/><Relationship Id="rId124" Type="http://schemas.openxmlformats.org/officeDocument/2006/relationships/hyperlink" Target="https://arxiv.org/abs/2609.24967" TargetMode="External"/><Relationship Id="rId108"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4"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80" Type="http://schemas.openxmlformats.org/officeDocument/2006/relationships/hyperlink" Target="https://arxiv.org/abs/2610.24048"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9" Type="http://schemas.openxmlformats.org/officeDocument/2006/relationships/hyperlink" Target="https://github.com/leonidas1712/aboard" TargetMode="External"/><Relationship Id="rId190" Type="http://schemas.openxmlformats.org/officeDocument/2006/relationships/hyperlink" Target="https://github.com/leonidas1712/leaf" TargetMode="External"/><Relationship Id="rId118" Type="http://schemas.openxmlformats.org/officeDocument/2006/relationships/hyperlink" Target="https://github.com/soham-padia/pre-sycophancy-study" TargetMode="External"/><Relationship Id="rId110" Type="http://schemas.openxmlformats.org/officeDocument/2006/relationships/hyperlink" Target="https://huggingface.co/Qwen/Qwen3-32B" TargetMode="External"/><Relationship Id="rId102" Type="http://schemas.openxmlformats.org/officeDocument/2006/relationships/hyperlink" Target="https://huggingface.co/openai/gpt-oss-20b" TargetMode="External"/><Relationship Id="rId106"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4" Type="http://schemas.openxmlformats.org/officeDocument/2006/relationships/hyperlink" Target="https://openrouter.ai/openai/gpt-6-luna-decisions" TargetMode="External"/><Relationship Id="rId98"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2"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90"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Collusion? Predicting When an Agent Gives In to a Recruiting Peer, with Activation Probes and Text Monitors</dc:title>
  <dc:creator>Leonidas Raghav</dc:creator>
  <cp:keywords/>
  <dcterms:created xsi:type="dcterms:W3CDTF">2026-10-26T11:34:33Z</dcterms:created>
  <dcterms:modified xsi:type="dcterms:W3CDTF">2026-10-26T11:34:33Z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