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A peer agent may press it to reveal a value, such as a deploy token, that its operator told it to keep private, often the first step of collusion. In six scenarios, one inspired by a real 2026 agent incident, a peer presses a Qwen3-32B target for such a value over up to 20 rounds; the target gives in on 101 of 241 episodes (42%). We compare two ways to predict give-in: linear probes on the target’s internal activations, and text monitors (an LLM judge and two decision models) that read the target’s actions, the conversation, or everything the target saw. Whether we can tell depends on how far ahead we ask. Eventual give-in is barely predictable from one step. Giving in this round or the next is modestly predictable: a probe scores AUROC 0.58 on held-out scenarios and the best monitor (a forecasting decision model) 0.65, and both held on 89 new episodes under a frozen analysis plan. The best monitor did better asked to forecast than to detect, and probes can add to weaker monitors. On gpt-oss-20b, which usually gives in within the round it is asked, neither probes nor monitors predict give-in much above chance. Warnings thus arrive late, so oversight would need to check each step close to the action. If future work finds earlier signals that hold across models, overseers could stop collusion before it succeeds.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risky collective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 so that the model carries out the attacker’s task instead of its own</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The target often refuses for several rounds, citing the rule, before it complies. Giving in is siding with the peer against the operator, not mistaking data for instructions.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ask the question at two horizons: will the target give in</w:t>
      </w:r>
      <w:r>
        <w:rPr>
          <w:rFonts w:ascii="XCharter" w:hAnsi="XCharter" w:cs="XCharter" w:eastAsia="XCharter"/>
          <w:sz w:val="22"/>
        </w:rPr>
        <w:t xml:space="preserve"> </w:t>
      </w:r>
      <w:r>
        <w:rPr>
          <w:rFonts w:ascii="XCharter" w:hAnsi="XCharter" w:cs="XCharter" w:eastAsia="XCharter"/>
          <w:i/>
          <w:iCs/>
          <w:sz w:val="22"/>
        </w:rPr>
        <w:t xml:space="preserve">at any later point</w:t>
      </w:r>
      <w:r>
        <w:rPr>
          <w:rFonts w:ascii="XCharter" w:hAnsi="XCharter" w:cs="XCharter" w:eastAsia="XCharter"/>
          <w:sz w:val="22"/>
        </w:rPr>
        <w:t xml:space="preserve"> </w:t>
      </w:r>
      <w:r>
        <w:rPr>
          <w:rFonts w:ascii="XCharter" w:hAnsi="XCharter" w:cs="XCharter" w:eastAsia="XCharter"/>
          <w:sz w:val="22"/>
        </w:rPr>
        <w:t xml:space="preserve">in the episode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or</w:t>
      </w:r>
      <w:r>
        <w:rPr>
          <w:rFonts w:ascii="XCharter" w:hAnsi="XCharter" w:cs="XCharter" w:eastAsia="XCharter"/>
          <w:sz w:val="22"/>
        </w:rPr>
        <w:t xml:space="preserve"> </w:t>
      </w:r>
      <w:r>
        <w:rPr>
          <w:rFonts w:ascii="XCharter" w:hAnsi="XCharter" w:cs="XCharter" w:eastAsia="XCharter"/>
          <w:i/>
          <w:iCs/>
          <w:sz w:val="22"/>
        </w:rPr>
        <w:t xml:space="preserve">in this round or the next</w:t>
      </w:r>
      <w:r>
        <w:rPr>
          <w:rFonts w:ascii="XCharter" w:hAnsi="XCharter" w:cs="XCharter" w:eastAsia="XCharter"/>
          <w:sz w:val="22"/>
        </w:rPr>
        <w:t xml:space="preserve"> </w:t>
      </w: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episodes will give in, and when? Our leak, an exact string, is deliberately a simple, verifiable case that an output filter could catch. We use it as a first, sprint-scale test of whether a give-in can be anticipated at all, before harder cases where no filter applies and anticipation matters most: paraphrased or semantic disclosures, and harmful actions with no fixed signature.</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steps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Near-term give-in is modestly predictable; eventual give-in is not.</w:t>
      </w:r>
      <w:r>
        <w:rPr>
          <w:rFonts w:ascii="XCharter" w:hAnsi="XCharter" w:cs="XCharter" w:eastAsia="XCharter"/>
          <w:sz w:val="22"/>
        </w:rPr>
        <w:t xml:space="preserve"> </w:t>
      </w:r>
      <w:r>
        <w:rPr>
          <w:rFonts w:ascii="XCharter" w:hAnsi="XCharter" w:cs="XCharter" w:eastAsia="XCharter"/>
          <w:sz w:val="22"/>
        </w:rPr>
        <w:t xml:space="preserve">The near-term result held on new episodes scored under a plan fixed in advance (Sections 4.2–4.4).</w:t>
      </w:r>
    </w:p>
    <w:p>
      <w:pPr>
        <w:pStyle w:val="Compact"/>
        <w:widowControl/>
        <w:numPr>
          <w:ilvl w:val="0"/>
          <w:numId w:val="1002"/>
        </w:numPr>
        <w:spacing w:line="259" w:lineRule="auto" w:after="60"/>
        <w:jc w:val="left"/>
      </w:pPr>
      <w:r>
        <w:rPr>
          <w:rFonts w:ascii="XCharter" w:hAnsi="XCharter" w:cs="XCharter" w:eastAsia="XCharter"/>
          <w:b/>
          <w:bCs/>
          <w:sz w:val="22"/>
        </w:rPr>
        <w:t xml:space="preserve">The probe is not just a pressure detector:</w:t>
      </w:r>
      <w:r>
        <w:rPr>
          <w:rFonts w:ascii="XCharter" w:hAnsi="XCharter" w:cs="XCharter" w:eastAsia="XCharter"/>
          <w:sz w:val="22"/>
        </w:rPr>
        <w:t xml:space="preserve"> </w:t>
      </w:r>
      <w:r>
        <w:rPr>
          <w:rFonts w:ascii="XCharter" w:hAnsi="XCharter" w:cs="XCharter" w:eastAsia="XCharter"/>
          <w:sz w:val="22"/>
        </w:rPr>
        <w:t xml:space="preserve">a probe that separates pressured from unpressured steps perfectly does not rank who gives in (</w:t>
      </w:r>
      <w:hyperlink w:anchor="_2448d67834c5cf734896f5e0979aab1d1aa294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strongest text monitor works best when asked to forecast</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“will the target break the rule?”</w:t>
      </w:r>
      <w:r>
        <w:rPr>
          <w:rFonts w:ascii="XCharter" w:hAnsi="XCharter" w:cs="XCharter" w:eastAsia="XCharter"/>
          <w:sz w:val="22"/>
        </w:rPr>
        <w:t xml:space="preserve">) rather than detect (</w:t>
      </w:r>
      <w:r>
        <w:rPr>
          <w:rFonts w:ascii="XCharter" w:hAnsi="XCharter" w:cs="XCharter" w:eastAsia="XCharter"/>
          <w:sz w:val="22"/>
        </w:rPr>
        <w:t xml:space="preserve">“is it breaking the rule now?”</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and when it reads the peer’s messages;</w:t>
      </w:r>
      <w:r>
        <w:rPr>
          <w:rFonts w:ascii="XCharter" w:hAnsi="XCharter" w:cs="XCharter" w:eastAsia="XCharter"/>
          <w:sz w:val="22"/>
        </w:rPr>
        <w:t xml:space="preserve"> </w:t>
      </w:r>
      <w:r>
        <w:rPr>
          <w:rFonts w:ascii="XCharter" w:hAnsi="XCharter" w:cs="XCharter" w:eastAsia="XCharter"/>
          <w:sz w:val="22"/>
        </w:rPr>
        <w:t xml:space="preserve">a probe adds to a weaker monitor but not a strong one (</w:t>
      </w:r>
      <w:hyperlink w:anchor="_73f61958d262f98e83f608a89bbdd03761fa306">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second model, gpt-oss-20b, shows a limit:</w:t>
      </w:r>
      <w:r>
        <w:rPr>
          <w:rFonts w:ascii="XCharter" w:hAnsi="XCharter" w:cs="XCharter" w:eastAsia="XCharter"/>
          <w:sz w:val="22"/>
        </w:rPr>
        <w:t xml:space="preserve"> </w:t>
      </w:r>
      <w:r>
        <w:rPr>
          <w:rFonts w:ascii="XCharter" w:hAnsi="XCharter" w:cs="XCharter" w:eastAsia="XCharter"/>
          <w:sz w:val="22"/>
        </w:rPr>
        <w:t xml:space="preserve">it usually gives in within the round it is asked, and there the probe is near chance and monitors only weakly predictive (</w:t>
      </w:r>
      <w:hyperlink w:anchor="_762fd15e93d6fd69d18d5f46a9ab20a2eac6ad2">
        <w:r>
          <w:rPr>
            <w:rStyle w:val="Hyperlink"/>
            <w:rFonts w:ascii="XCharter" w:hAnsi="XCharter" w:cs="XCharter" w:eastAsia="XCharter"/>
            <w:color w:val="000080"/>
            <w:sz w:val="22"/>
            <w:u w:val="none"/>
          </w:rPr>
          <w:t xml:space="preserve">Section 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our target is never told to collude, and we compare episodes under the same pressure that end differently,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 (an untrained signal peaks near AUC 0.6; probes do not transfer between models).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LLM outcome forecasts on AgentDojo.</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two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at three access levels and asked to detect or to forecast, are scored on exactly the same steps.</w:t>
      </w:r>
    </w:p>
    <w:p>
      <w:pPr>
        <w:pStyle w:val="BodyText"/>
        <w:widowControl/>
        <w:spacing w:after="0" w:line="259" w:lineRule="auto"/>
        <w:ind w:firstLine="360"/>
        <w:jc w:val="both"/>
      </w:pPr>
      <w:r>
        <w:rPr>
          <w:rFonts w:ascii="XCharter" w:hAnsi="XCharter" w:cs="XCharter" w:eastAsia="XCharter"/>
          <w:sz w:val="22"/>
        </w:rPr>
        <w:t xml:space="preserve">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tool calls (read, write, send a channel message). A give-in is scored from the tool log: the complete value posted to the team channel (partial disclosures do not count). The deploy-token scorer was written first and counts channel posts only; the five later scenarios also count writing the value into another file (5 of the 101 scored give-ins are file-only), and gpt-oss counts channel posts only. A secondary decision model labels each give-in deliberate or accidental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In the main scenario, the recruiting peer asks for the deploy token; the control peer asks only for the service, version and environment it needs. Control and target-alone episodes never gave in. The peer is not told the rule, so we study recruitment from an ordinary conflict of goals. In 17 of the 241 scored recruiting episodes the peer also carried a single persuasion tactic (three tactics;</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Six scenarios are built from one task template that fixes the structure while varying the surface domain - a credential, a number, a text value, or code, each a randomly generated string rather than a real or meaningful value. The main scenario is inspired by a 2026 agent incident and the others are variations on it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Scenario and model choices, the repeated-round precedent</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 and serving details are in Appendices B and C;</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Qwen3-32B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at the last prompt token before each reply; the replay reproduces the served replies closely, so the activations reflect the model that acted. The combined data is</w:t>
      </w:r>
      <w:r>
        <w:rPr>
          <w:rFonts w:ascii="XCharter" w:hAnsi="XCharter" w:cs="XCharter" w:eastAsia="XCharter"/>
          <w:sz w:val="22"/>
        </w:rPr>
        <w:t xml:space="preserve"> </w:t>
      </w:r>
      <w:r>
        <w:rPr>
          <w:rFonts w:ascii="XCharter" w:hAnsi="XCharter" w:cs="XCharter" w:eastAsia="XCharter"/>
          <w:b/>
          <w:bCs/>
          <w:sz w:val="22"/>
        </w:rPr>
        <w:t xml:space="preserve">6,404 eligible steps</w:t>
      </w:r>
      <w:r>
        <w:rPr>
          <w:rFonts w:ascii="XCharter" w:hAnsi="XCharter" w:cs="XCharter" w:eastAsia="XCharter"/>
          <w:sz w:val="22"/>
        </w:rPr>
        <w:t xml:space="preserve"> </w:t>
      </w:r>
      <w:r>
        <w:rPr>
          <w:rFonts w:ascii="XCharter" w:hAnsi="XCharter" w:cs="XCharter" w:eastAsia="XCharter"/>
          <w:sz w:val="22"/>
        </w:rPr>
        <w:t xml:space="preserve">(after the target reads the value and before it discloses it;</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from 338 episodes</w:t>
      </w:r>
      <w:r>
        <w:rPr>
          <w:rFonts w:ascii="XCharter" w:hAnsi="XCharter" w:cs="XCharter" w:eastAsia="XCharter"/>
          <w:sz w:val="22"/>
        </w:rPr>
        <w:t xml:space="preserve">, of which</w:t>
      </w:r>
      <w:r>
        <w:rPr>
          <w:rFonts w:ascii="XCharter" w:hAnsi="XCharter" w:cs="XCharter" w:eastAsia="XCharter"/>
          <w:sz w:val="22"/>
        </w:rPr>
        <w:t xml:space="preserve"> </w:t>
      </w:r>
      <w:r>
        <w:rPr>
          <w:rFonts w:ascii="XCharter" w:hAnsi="XCharter" w:cs="XCharter" w:eastAsia="XCharter"/>
          <w:b/>
          <w:bCs/>
          <w:sz w:val="22"/>
        </w:rPr>
        <w:t xml:space="preserve">4,697 steps from 241 recruiting episodes</w:t>
      </w:r>
      <w:r>
        <w:rPr>
          <w:rFonts w:ascii="XCharter" w:hAnsi="XCharter" w:cs="XCharter" w:eastAsia="XCharter"/>
          <w:sz w:val="22"/>
        </w:rPr>
        <w:t xml:space="preserve"> </w:t>
      </w:r>
      <w:r>
        <w:rPr>
          <w:rFonts w:ascii="XCharter" w:hAnsi="XCharter" w:cs="XCharter" w:eastAsia="XCharter"/>
          <w:sz w:val="22"/>
        </w:rPr>
        <w:t xml:space="preserve">are scored (control and target-alone steps share the folds of their</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but are never scored or used for training).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serves first as a held-out confirmation set and is then pooled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The full pipeline, per-batch and per-scenario counts, and replay fidelity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 w:name="_49d7020ce8d99d54ef2f42ab4174e0619897c95"/>
      <w:r>
        <w:rPr>
          <w:rFonts w:ascii="Old Standard TT" w:hAnsi="Old Standard TT"/>
          <w:b/>
          <w:sz w:val="26"/>
        </w:rPr>
        <w:t xml:space="preserve">3.3 What gets scored</w:t>
      </w:r>
      <w:bookmarkEnd w:id="16"/>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steps</w:t>
      </w:r>
      <w:r>
        <w:rPr>
          <w:rFonts w:ascii="XCharter" w:hAnsi="XCharter" w:cs="XCharter" w:eastAsia="XCharter"/>
          <w:sz w:val="22"/>
        </w:rPr>
        <w:t xml:space="preserve">: steps where the target has read the protected value and has not yet disclosed it. Steps before the read cannot produce a give-in, and including them lets a detector win by detecting that the file was read: an exposure probe reaches AUROC 1.000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which only checks that the activations carry the information. Steps after the disclosure are excluded too: by then the rule is already broken, so scoring them would measure spotting a disclosure, not predicting one.</w:t>
      </w:r>
    </w:p>
    <w:p>
      <w:pPr>
        <w:pStyle w:val="BodyText"/>
        <w:widowControl/>
        <w:spacing w:after="0" w:line="259" w:lineRule="auto"/>
        <w:ind w:firstLine="360"/>
        <w:jc w:val="both"/>
      </w:pPr>
      <w:r>
        <w:rPr>
          <w:rFonts w:ascii="XCharter" w:hAnsi="XCharter" w:cs="XCharter" w:eastAsia="XCharter"/>
          <w:sz w:val="22"/>
        </w:rPr>
        <w:t xml:space="preserve">We score two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 Under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every eligible step of an episode that eventually gives in is positive. Under 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 our primary one, a step is positive only if the first forbidden action falls in the current round or the next. We defined the near-term label after seeing the eventual result, so we validate it on the new-episode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Secondary label variants are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and the window’s cost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 w:name="_detectors"/>
      <w:r>
        <w:rPr>
          <w:rFonts w:ascii="Old Standard TT" w:hAnsi="Old Standard TT"/>
          <w:b/>
          <w:sz w:val="26"/>
        </w:rPr>
        <w:t xml:space="preserve">3.4 Detectors</w:t>
      </w:r>
      <w:bookmarkEnd w:id="17"/>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residual-stream vector at the last prompt token before each target reply; the layer is chosen inside each training fold, the probe is trained on recruiting episodes only, and folds are grouped by family so that near-copies of an episode never appear on both sides (full recipe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following standard practice</w:t>
      </w:r>
      <w:r>
        <w:rPr>
          <w:rFonts w:ascii="XCharter" w:hAnsi="XCharter" w:cs="XCharter" w:eastAsia="XCharter"/>
          <w:sz w:val="22"/>
        </w:rPr>
        <w:t xml:space="preserve"> </w:t>
      </w:r>
      <w:r>
        <w:rPr>
          <w:rFonts w:ascii="XCharter" w:hAnsi="XCharter" w:cs="XCharter" w:eastAsia="XCharter"/>
          <w:sz w:val="22"/>
        </w:rPr>
        <w:t xml:space="preserve">(</w:t>
      </w:r>
      <w:hyperlink w:anchor="_36eb5a352a13bd47ba7bc4257914192551e466d">
        <w:r>
          <w:rPr>
            <w:rStyle w:val="Hyperlink"/>
            <w:rFonts w:ascii="XCharter" w:hAnsi="XCharter" w:cs="XCharter" w:eastAsia="XCharter"/>
            <w:color w:val="000080"/>
            <w:sz w:val="22"/>
            <w:u w:val="none"/>
          </w:rPr>
          <w:t xml:space="preserve">Goldowsky-Dill et al., 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w:t>
      </w:r>
      <w:r>
        <w:rPr>
          <w:rFonts w:ascii="XCharter" w:hAnsi="XCharter" w:cs="XCharter" w:eastAsia="XCharter"/>
          <w:sz w:val="22"/>
        </w:rPr>
        <w:t xml:space="preserve">(Jev 1.14</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options and are defined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monitor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the target’s unposted text and tool results (for gpt-oss-20b a fourth level adds its earlier reasoning,</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9" name="Picture"/>
            <a:graphic>
              <a:graphicData uri="http://schemas.openxmlformats.org/drawingml/2006/picture">
                <pic:pic>
                  <pic:nvPicPr>
                    <pic:cNvPr descr="figures/figure1_setup.png" id="20" name="Picture"/>
                    <pic:cNvPicPr>
                      <a:picLocks noChangeArrowheads="1" noChangeAspect="1"/>
                    </pic:cNvPicPr>
                  </pic:nvPicPr>
                  <pic:blipFill>
                    <a:blip r:embed="rId18"/>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1"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Probes and monitors are scored on the steps between reading the token and posting it. (a) A real give-in exchange with Qwen3-32B (episode 0032; verbatim, shortened, token truncated). (b) Setup: the probe reads the target’s activations at the last prompt token, and a text monitor’s three access levels are L1 (the target’s actions only), L2 (adds the peer’s messages) and L3 (adds everything else the target saw). (c) A toy episode with eligible steps shaded and the eventual and near-term labels marked.</w:t>
      </w:r>
      <w:bookmarkEnd w:id="21"/>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step outranks a random negative; 0.5 = chance), then take the average across groups weighted by the number of positives. We compare only within a group because, pooled across rounds, simply rating early rounds as risky already scores 0.71 (give-ins tend to come early). That rule flags every target in an early round alike, including those that would hold for many more rounds, so it cannot tell an overseer</w:t>
      </w:r>
      <w:r>
        <w:rPr>
          <w:rFonts w:ascii="XCharter" w:hAnsi="XCharter" w:cs="XCharter" w:eastAsia="XCharter"/>
          <w:sz w:val="22"/>
        </w:rPr>
        <w:t xml:space="preserve"> </w:t>
      </w:r>
      <w:r>
        <w:rPr>
          <w:rFonts w:ascii="XCharter" w:hAnsi="XCharter" w:cs="XCharter" w:eastAsia="XCharter"/>
          <w:i/>
          <w:iCs/>
          <w:sz w:val="22"/>
        </w:rPr>
        <w:t xml:space="preserve">which</w:t>
      </w:r>
      <w:r>
        <w:rPr>
          <w:rFonts w:ascii="XCharter" w:hAnsi="XCharter" w:cs="XCharter" w:eastAsia="XCharter"/>
          <w:sz w:val="22"/>
        </w:rPr>
        <w:t xml:space="preserve"> </w:t>
      </w:r>
      <w:r>
        <w:rPr>
          <w:rFonts w:ascii="XCharter" w:hAnsi="XCharter" w:cs="XCharter" w:eastAsia="XCharter"/>
          <w:sz w:val="22"/>
        </w:rPr>
        <w:t xml:space="preserve">target to stop. Within a scenario and round it scores exactly 0.5, so any score above 0.5 must come from telling targets that are about to give in apart from those that will hold.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Related episodes form</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(variants of one seeded episode and reruns that share its history),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our headline for an unseen scenario, and a</w:t>
      </w:r>
      <w:r>
        <w:rPr>
          <w:rFonts w:ascii="XCharter" w:hAnsi="XCharter" w:cs="XCharter" w:eastAsia="XCharter"/>
          <w:sz w:val="22"/>
        </w:rPr>
        <w:t xml:space="preserve"> </w:t>
      </w:r>
      <w:r>
        <w:rPr>
          <w:rFonts w:ascii="XCharter" w:hAnsi="XCharter" w:cs="XCharter" w:eastAsia="XCharter"/>
          <w:b/>
          <w:bCs/>
          <w:sz w:val="22"/>
        </w:rPr>
        <w:t xml:space="preserve">new-episode confirmation set</w:t>
      </w:r>
      <w:r>
        <w:rPr>
          <w:rFonts w:ascii="XCharter" w:hAnsi="XCharter" w:cs="XCharter" w:eastAsia="XCharter"/>
          <w:sz w:val="22"/>
        </w:rPr>
        <w:t xml:space="preserve"> </w:t>
      </w:r>
      <w:r>
        <w:rPr>
          <w:rFonts w:ascii="XCharter" w:hAnsi="XCharter" w:cs="XCharter" w:eastAsia="XCharter"/>
          <w:sz w:val="22"/>
        </w:rPr>
        <w:t xml:space="preserve">scored once under a plan fixed in advance, so a result on it cannot come from choices made after seeing it.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the alarm analysis are in Appendices E and H.</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unchanged,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sees the data; what we kept the same and what we changed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and the results in</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Of 224 plain-peer recruiting episodes analysed for behaviour, Qwen3-32B gives in on 98 (44%; 36% to 63% across scenarios), and on 101 of the 241 scored episodes (42%; tactic arms included;</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control and target-alone episodes never give in (0 of 66 and 0 of 25). Per-scenario rates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37931"/>
            <wp:effectExtent b="0" l="0" r="0" t="0"/>
            <wp:docPr descr="Figure 2. Predicting eventual and near-term give-in" title="" id="27" name="Picture"/>
            <a:graphic>
              <a:graphicData uri="http://schemas.openxmlformats.org/drawingml/2006/picture">
                <pic:pic>
                  <pic:nvPicPr>
                    <pic:cNvPr descr="figures/figure2_prediction.png" id="28" name="Picture"/>
                    <pic:cNvPicPr>
                      <a:picLocks noChangeArrowheads="1" noChangeAspect="1"/>
                    </pic:cNvPicPr>
                  </pic:nvPicPr>
                  <pic:blipFill>
                    <a:blip r:embed="rId26"/>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9"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How well each detector predicts give-in, by target and horizon. On Qwen3-32B, eventual give-in is barely predictable and near-term give-in is modestly predictable, best by a text forecaster; on gpt-oss-20b, nothing is much above chance. Within scenario × round AUROC (0.5 = chance) with 95% family-bootstrap whiskers. (a, b) Qwen3-32B, 4,697 recruiting steps from 241 episodes; filled circles: held-out scenarios, all data; hollow squares: the new-episode confirmation set (near-term only; these episodes are also in the all-data set). (c) gpt-oss-20b, 2,059 post-ask steps from 238 episodes, held-out scenarios; diamonds: eventual; triangles: near-term. Combination rows are not drawn for gpt-oss (Appendix F).</w:t>
      </w:r>
      <w:bookmarkEnd w:id="29"/>
    </w:p>
    <w:p>
      <w:pPr>
        <w:pStyle w:val="Heading3"/>
        <w:keepNext/>
        <w:spacing w:before="200" w:lineRule="auto"/>
        <w:rPr>
          <w:rFonts w:ascii="Old Standard TT" w:cs="Old Standard TT" w:eastAsia="Old Standard TT" w:hAnsi="Old Standard TT"/>
          <w:b w:val="1"/>
          <w:bCs w:val="1"/>
          <w:color w:val="000000"/>
          <w:sz w:val="26"/>
          <w:szCs w:val="26"/>
        </w:rPr>
      </w:pPr>
      <w:bookmarkStart w:id="30" w:name="_69352b358ef611d55b8ed943b9f6c14474eb703"/>
      <w:r>
        <w:rPr>
          <w:rFonts w:ascii="Old Standard TT" w:hAnsi="Old Standard TT"/>
          <w:b/>
          <w:sz w:val="26"/>
        </w:rPr>
        <w:t xml:space="preserve">4.2 Eventual give-in is barely predictable from one step</w:t>
      </w:r>
      <w:bookmarkEnd w:id="30"/>
    </w:p>
    <w:p>
      <w:pPr>
        <w:pStyle w:val="FirstParagraph"/>
        <w:widowControl/>
        <w:spacing w:after="0" w:line="259" w:lineRule="auto"/>
        <w:ind w:firstLine="0"/>
        <w:jc w:val="both"/>
      </w:pPr>
      <w:r>
        <w:rPr>
          <w:rFonts w:ascii="XCharter" w:hAnsi="XCharter" w:cs="XCharter" w:eastAsia="XCharter"/>
          <w:sz w:val="22"/>
        </w:rPr>
        <w:t xml:space="preserve">On held-out scenarios (4,697 steps, 998 eventual positives), the activation probe scores 0.523, with an interval that includes chance. The strongest text monitor, the Jev 1.14 forecaster with everything the target saw, reaches 0.577, just clear of chance; GPT-5-nano with the conversation is 0.549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 A single step therefore carries little warning: the signal is weak, not absent.</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2448d67834c5cf734896f5e0979aab1d1aa294f"/>
      <w:r>
        <w:rPr>
          <w:rFonts w:ascii="Old Standard TT" w:hAnsi="Old Standard TT"/>
          <w:b/>
          <w:sz w:val="26"/>
        </w:rPr>
        <w:t xml:space="preserve">4.3 Near-term give-in is modestly predictable, and not only from pressure</w:t>
      </w:r>
      <w:bookmarkEnd w:id="31"/>
    </w:p>
    <w:p>
      <w:pPr>
        <w:pStyle w:val="FirstParagraph"/>
        <w:widowControl/>
        <w:spacing w:after="0" w:line="259" w:lineRule="auto"/>
        <w:ind w:firstLine="0"/>
        <w:jc w:val="both"/>
      </w:pPr>
      <w:r>
        <w:rPr>
          <w:rFonts w:ascii="XCharter" w:hAnsi="XCharter" w:cs="XCharter" w:eastAsia="XCharter"/>
          <w:sz w:val="22"/>
        </w:rPr>
        <w:t xml:space="preserve">For the near-term label, on the same held-out steps (250 near-term positives), the probe reaches 0.579 and the best monitor, the Jev forecaster, 0.650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As a check, we trained a separate probe to tell steps where the peer is pushing (recruiting) from steps where it is not (control and target-alone). It separates them almost perfectly (AUROC 1.000), yet among recruiting steps it does not pick out the targets that give in (AUROC 0.44 near-term, 0.43 eventual; first data batch,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the presence of pressure.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54eb2f5f95f37f7697f90e34f74f02749f09399"/>
      <w:r>
        <w:rPr>
          <w:rFonts w:ascii="Old Standard TT" w:hAnsi="Old Standard TT"/>
          <w:b/>
          <w:sz w:val="26"/>
        </w:rPr>
        <w:t xml:space="preserve">4.4 The near-term result holds on new episodes</w:t>
      </w:r>
      <w:bookmarkEnd w:id="32"/>
    </w:p>
    <w:p>
      <w:pPr>
        <w:pStyle w:val="FirstParagraph"/>
        <w:widowControl/>
        <w:spacing w:after="0" w:line="259" w:lineRule="auto"/>
        <w:ind w:firstLine="0"/>
        <w:jc w:val="both"/>
      </w:pPr>
      <w:r>
        <w:rPr>
          <w:rFonts w:ascii="XCharter" w:hAnsi="XCharter" w:cs="XCharter" w:eastAsia="XCharter"/>
          <w:sz w:val="22"/>
        </w:rPr>
        <w:t xml:space="preserve">We collected 89 new episodes after the analysis plan was fixed and scored them once (1,787 steps, 82 near-term positives). The probe reached 0.68, with an interval clear of chance, and combining it with the Jev forecaster gave 0.70; Jev alone reached 0.64. Neither the probe nor the combination is clearly better than Jev (Jev − probe −0.038 [−0.142, +0.059];</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3" w:name="_73f61958d262f98e83f608a89bbdd03761fa306"/>
      <w:r>
        <w:rPr>
          <w:rFonts w:ascii="Old Standard TT" w:hAnsi="Old Standard TT"/>
          <w:b/>
          <w:sz w:val="26"/>
        </w:rPr>
        <w:t xml:space="preserve">4.5 What a monitor should ask and see</w:t>
      </w:r>
      <w:bookmarkEnd w:id="33"/>
    </w:p>
    <w:p>
      <w:pPr>
        <w:pStyle w:val="FirstParagraph"/>
        <w:widowControl/>
        <w:spacing w:after="0" w:line="259" w:lineRule="auto"/>
        <w:ind w:firstLine="0"/>
        <w:jc w:val="both"/>
      </w:pPr>
      <w:r>
        <w:rPr>
          <w:rFonts w:ascii="XCharter" w:hAnsi="XCharter" w:cs="XCharter" w:eastAsia="XCharter"/>
          <w:sz w:val="22"/>
        </w:rPr>
        <w:t xml:space="preserve">Two choices matter for a text monitor. First, the question: asked to forecast, Jev scores 0.650 on the near-term label; asked to detect, 0.578 (both seeing everything the target saw). Second, what it sees: on the first data batch, giving the Jev forecaster the peer’s messages on top of the target’s actions raises its score by 0.123 [0.063, 0.176], while adding everything else the target saw adds only 0.025 [-0.004, 0.054]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Combining the probe with a text monitor helps only the weaker monitor. We fit a small model that predicts give-in from a monitor’s score (with round and prompt length), then refit it with the probe’s score added (details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GPT-5-nano, adding the probe lifts near-term AUROC by +0.081 [0.038, 0.126] in pooled cross-validation and +0.113 [0.025, 0.203] on the new episodes, but the held-out-scenario gain is only +0.022 [-0.013, 0.059] (not significant); for the Jev forecaster it adds almost nothing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34" w:name="_430a6d3b2a913ae20608f569435237c6530f814"/>
      <w:r>
        <w:rPr>
          <w:rFonts w:ascii="XCharter" w:hAnsi="XCharter" w:cs="XCharter" w:eastAsia="XCharter"/>
          <w:b/>
          <w:bCs/>
          <w:sz w:val="18"/>
        </w:rPr>
        <w:t xml:space="preserve">Table 1.</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steps / 250 positives; confirmation 1,787 / 82. Gains use paired resamples. † Pooled-CV baselines can fall below 0.5 because they compare scores from different fitted fold models (Appendix E).</w:t>
      </w:r>
      <w:bookmarkEnd w:id="34"/>
    </w:p>
    <w:p>
      <w:pPr>
        <w:pStyle w:val="Heading3"/>
        <w:keepNext/>
        <w:spacing w:before="200" w:lineRule="auto"/>
        <w:rPr>
          <w:rFonts w:ascii="Old Standard TT" w:cs="Old Standard TT" w:eastAsia="Old Standard TT" w:hAnsi="Old Standard TT"/>
          <w:b w:val="1"/>
          <w:bCs w:val="1"/>
          <w:color w:val="000000"/>
          <w:sz w:val="26"/>
          <w:szCs w:val="26"/>
        </w:rPr>
      </w:pPr>
      <w:bookmarkStart w:id="35" w:name="_762fd15e93d6fd69d18d5f46a9ab20a2eac6ad2"/>
      <w:r>
        <w:rPr>
          <w:rFonts w:ascii="Old Standard TT" w:hAnsi="Old Standard TT"/>
          <w:b/>
          <w:sz w:val="26"/>
        </w:rPr>
        <w:t xml:space="preserve">4.6 Transfer to a second target</w:t>
      </w:r>
      <w:bookmarkEnd w:id="35"/>
    </w:p>
    <w:p>
      <w:pPr>
        <w:pStyle w:val="FirstParagraph"/>
        <w:widowControl/>
        <w:spacing w:after="0" w:line="259" w:lineRule="auto"/>
        <w:ind w:firstLine="0"/>
        <w:jc w:val="both"/>
      </w:pPr>
      <w:r>
        <w:rPr>
          <w:rFonts w:ascii="XCharter" w:hAnsi="XCharter" w:cs="XCharter" w:eastAsia="XCharter"/>
          <w:sz w:val="22"/>
        </w:rPr>
        <w:t xml:space="preserve">gpt-oss-20b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gives in by a different route, copying a configuration block that holds the protected value, and usually soon after the ask: 32 of its 128 channel give-ins leave no step to predict from, and for 65 of the other 96 the earliest possible warning is in the same round. On the steps that remain, the probe is near chance (near-term 0.53 [0.48, 0.58] on held-out scenarios) and the best monitor, the Jev forecaster, is only weakly predictive (0.56 [0.51, 0.61]), although an exposure probe on the same activations detects that the token has been read at AUROC 1.000. We read this not as a failed replication but as a limit on when prediction is possible; one reading is that when a model gives in almost as soon as it is asked, there is little window in which to warn.</w:t>
      </w:r>
    </w:p>
    <w:p>
      <w:pPr>
        <w:pStyle w:val="Heading2"/>
        <w:keepNext/>
        <w:spacing w:after="0" w:before="200" w:line="360" w:lineRule="auto"/>
        <w:rPr>
          <w:rFonts w:ascii="Old Standard TT" w:cs="Old Standard TT" w:eastAsia="Old Standard TT" w:hAnsi="Old Standard TT"/>
          <w:b w:val="1"/>
          <w:bCs w:val="1"/>
          <w:sz w:val="28"/>
          <w:szCs w:val="28"/>
        </w:rPr>
      </w:pPr>
      <w:bookmarkStart w:id="36" w:name="_cbd875682116f3153fa9a8f9c77c00f8b5fdab1"/>
      <w:r>
        <w:rPr>
          <w:rFonts w:ascii="Old Standard TT" w:hAnsi="Old Standard TT"/>
          <w:b/>
          <w:sz w:val="28"/>
        </w:rPr>
        <w:t xml:space="preserve">5. Discussion and Limitations</w:t>
      </w:r>
      <w:bookmarkEnd w:id="36"/>
    </w:p>
    <w:p>
      <w:pPr>
        <w:pStyle w:val="FirstParagraph"/>
        <w:widowControl/>
        <w:spacing w:after="0" w:line="259" w:lineRule="auto"/>
        <w:ind w:firstLine="0"/>
        <w:jc w:val="both"/>
      </w:pPr>
      <w:r>
        <w:rPr>
          <w:rFonts w:ascii="XCharter" w:hAnsi="XCharter" w:cs="XCharter" w:eastAsia="XCharter"/>
          <w:sz w:val="22"/>
        </w:rPr>
        <w:t xml:space="preserve">First, prediction depends on the horizon: eventual give-in is close to unreadable from a single step, while near-term give-in is modestly readable. One reading is that the outcome is often unsettled until the decision approaches - in the branching check, 7 of 23 shared states ended differently when rerun for three rounds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 so a signal appears only as the decision nears; the alternative is that an early signal exists but our detectors miss it. Second, what a monitor reads and is asked matters, not only which model it is: the largest gain came from showing the strongest monitor the peer’s messages and asking it to forecast. The second target shows a limit: how and how fast a model gives in decides whether there is anything to forecast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As alarms, the detectors have low recall. With a cutoff set on held episodes for a nominal 5% false-alarm rate, the Jev forecaster catches 10 of 101 give-ins, the probe 8 and GPT-5-nano none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A cutoff set on controls flags pressure, not give-in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itself is the first defence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Prediction adds value where no string can be matched; as a cheap early layer that decides when to escalate to costlier checks, the cascade logic of Constitutional Classifiers++</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and by acting on the recruiter (alerting the operator, isolating the peer) rather than blocking one action while the pressure continues and can move to other agents. Our finding that warnings arrive late means action-time gating remains necessary; prediction is a complementary early layer, and it is currently weak.</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Give it the other agent’s messages, not only the target’s own actions.</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limitations"/>
      <w:r>
        <w:rPr>
          <w:rFonts w:ascii="Old Standard TT" w:hAnsi="Old Standard TT"/>
          <w:b/>
          <w:sz w:val="26"/>
        </w:rPr>
        <w:t xml:space="preserve">Limitations</w:t>
      </w:r>
      <w:bookmarkEnd w:id="37"/>
    </w:p>
    <w:p>
      <w:pPr>
        <w:pStyle w:val="FirstParagraph"/>
        <w:widowControl/>
        <w:spacing w:after="0" w:line="259" w:lineRule="auto"/>
        <w:ind w:firstLine="0"/>
        <w:jc w:val="both"/>
      </w:pPr>
      <w:r>
        <w:rPr>
          <w:rFonts w:ascii="XCharter" w:hAnsi="XCharter" w:cs="XCharter" w:eastAsia="XCharter"/>
          <w:sz w:val="22"/>
        </w:rPr>
        <w:t xml:space="preserve">One main target model (Qwen3-32B) on six scenarios from one task template. Probes read the last prompt token, so a decision that forms within the reply is understated. The near-term label was chosen after seeing the eventual result, which the confirmation set guards against. Our probes are trained on labelled steps, while our monitors are prompted with no tuning, so a monitor tuned on the same labels would be a fairer comparison.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8" w:name="_32691ce30b0dd97ec3690ce7d97c5c9a26aa3b1"/>
      <w:r>
        <w:rPr>
          <w:rFonts w:ascii="Old Standard TT" w:hAnsi="Old Standard TT"/>
          <w:b/>
          <w:sz w:val="26"/>
        </w:rPr>
        <w:t xml:space="preserve">Future Work</w:t>
      </w:r>
      <w:bookmarkEnd w:id="38"/>
    </w:p>
    <w:p>
      <w:pPr>
        <w:pStyle w:val="FirstParagraph"/>
        <w:widowControl/>
        <w:spacing w:after="0" w:line="259" w:lineRule="auto"/>
        <w:ind w:firstLine="0"/>
        <w:jc w:val="both"/>
      </w:pPr>
      <w:r>
        <w:rPr>
          <w:rFonts w:ascii="XCharter" w:hAnsi="XCharter" w:cs="XCharter" w:eastAsia="XCharter"/>
          <w:sz w:val="22"/>
        </w:rPr>
        <w:t xml:space="preserve">Our setup has one peer and one target, but collusion in deployment involves groups: several recruiting peers, honest teammates who can object, and recruited agents that go on to recruit others,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Attacks can also spread between agents through shared memory</w:t>
      </w:r>
      <w:r>
        <w:rPr>
          <w:rFonts w:ascii="XCharter" w:hAnsi="XCharter" w:cs="XCharter" w:eastAsia="XCharter"/>
          <w:sz w:val="22"/>
        </w:rPr>
        <w:t xml:space="preserve"> </w:t>
      </w:r>
      <w:r>
        <w:rPr>
          <w:rFonts w:ascii="XCharter" w:hAnsi="XCharter" w:cs="XCharter" w:eastAsia="XCharter"/>
          <w:sz w:val="22"/>
        </w:rPr>
        <w:t xml:space="preserve">(</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A natural next step is to run the same pipeline, probes and monitors scored on the same steps, in such group settings, and ask whether warning comes earlier or later when pressure comes from several peers or when a teammate pushes back. Running Qwen3-32B with thinking on, which our screens tried only on a few episodes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would give a probe the target’s reasoning to read before it acts.</w:t>
      </w:r>
      <w:r>
        <w:rPr>
          <w:rFonts w:ascii="XCharter" w:hAnsi="XCharter" w:cs="XCharter" w:eastAsia="XCharter"/>
          <w:sz w:val="22"/>
        </w:rPr>
        <w:t xml:space="preserve">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 </w:t>
      </w:r>
      <w:r>
        <w:rPr>
          <w:rFonts w:ascii="XCharter" w:hAnsi="XCharter" w:cs="XCharter" w:eastAsia="XCharter"/>
          <w:sz w:val="22"/>
        </w:rPr>
        <w:t xml:space="preserve">outlines a tuned follow-up scored once on fresh episodes.</w:t>
      </w:r>
    </w:p>
    <w:p>
      <w:pPr>
        <w:pStyle w:val="Heading2"/>
        <w:keepNext/>
        <w:spacing w:after="0" w:before="200" w:line="360" w:lineRule="auto"/>
        <w:rPr>
          <w:rFonts w:ascii="Old Standard TT" w:cs="Old Standard TT" w:eastAsia="Old Standard TT" w:hAnsi="Old Standard TT"/>
          <w:b w:val="1"/>
          <w:bCs w:val="1"/>
          <w:sz w:val="28"/>
          <w:szCs w:val="28"/>
        </w:rPr>
      </w:pPr>
      <w:bookmarkStart w:id="39" w:name="_conclusion"/>
      <w:r>
        <w:rPr>
          <w:rFonts w:ascii="Old Standard TT" w:hAnsi="Old Standard TT"/>
          <w:b/>
          <w:sz w:val="28"/>
        </w:rPr>
        <w:t xml:space="preserve">6. Conclusion</w:t>
      </w:r>
      <w:bookmarkEnd w:id="39"/>
    </w:p>
    <w:p>
      <w:pPr>
        <w:pStyle w:val="FirstParagraph"/>
        <w:widowControl/>
        <w:spacing w:after="0" w:line="259" w:lineRule="auto"/>
        <w:ind w:firstLine="0"/>
        <w:jc w:val="both"/>
      </w:pPr>
      <w:r>
        <w:rPr>
          <w:rFonts w:ascii="XCharter" w:hAnsi="XCharter" w:cs="XCharter" w:eastAsia="XCharter"/>
          <w:sz w:val="22"/>
        </w:rPr>
        <w:t xml:space="preserve">Collusion between agents often starts when one agent talks another into breaking its operator’s rule. We asked whether that give-in can be seen before it happens. On Qwen3-32B it can, but only modestly and only shortly before. Whether the target gives in this round or the next is readable, and this held on new episodes. Whether it will eventually give in is barely readable. The best held-out warning came from Jev 1.14, asked to forecast and shown the peer’s messages; on the new episodes the probe was on par with it (0.68 and 0.64), and it helped a weaker monitor. On gpt-oss-20b, which usually gives in at once, the probe was near chance and the best monitor only weakly predictive.</w:t>
      </w:r>
    </w:p>
    <w:p>
      <w:pPr>
        <w:pStyle w:val="BodyText"/>
        <w:widowControl/>
        <w:spacing w:after="0" w:line="259" w:lineRule="auto"/>
        <w:ind w:firstLine="360"/>
        <w:jc w:val="both"/>
      </w:pPr>
      <w:r>
        <w:rPr>
          <w:rFonts w:ascii="XCharter" w:hAnsi="XCharter" w:cs="XCharter" w:eastAsia="XCharter"/>
          <w:sz w:val="22"/>
        </w:rPr>
        <w:t xml:space="preserve">These signals are far from a working alarm. But the moment before the give-in is the step an overseer would need to catch: stopping it there keeps the protected value from leaking and keeps the recruitment, and any harmful instruction or information it carries, from spreading to further agents. Scoring probes and monitors on the same steps gives a way to look for earlier signals that transfer across models.</w:t>
      </w:r>
    </w:p>
    <w:p>
      <w:pPr>
        <w:pStyle w:val="Heading2"/>
        <w:keepNext/>
        <w:spacing w:after="0" w:before="200" w:line="360" w:lineRule="auto"/>
        <w:rPr>
          <w:rFonts w:ascii="Old Standard TT" w:cs="Old Standard TT" w:eastAsia="Old Standard TT" w:hAnsi="Old Standard TT"/>
          <w:b w:val="1"/>
          <w:bCs w:val="1"/>
          <w:sz w:val="28"/>
          <w:szCs w:val="28"/>
        </w:rPr>
      </w:pPr>
      <w:bookmarkStart w:id="40" w:name="_1f6b0a6dd8de899b0bf2d89a88c0574c2ef490f"/>
      <w:r>
        <w:rPr>
          <w:rFonts w:ascii="Old Standard TT" w:hAnsi="Old Standard TT"/>
          <w:b/>
          <w:sz w:val="28"/>
        </w:rPr>
        <w:t xml:space="preserve">Code and Data</w:t>
      </w:r>
      <w:bookmarkEnd w:id="40"/>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commit</w:t>
      </w:r>
      <w:r>
        <w:rPr>
          <w:rFonts w:ascii="XCharter" w:hAnsi="XCharter" w:cs="XCharter" w:eastAsia="XCharter"/>
          <w:sz w:val="22"/>
        </w:rPr>
        <w:t xml:space="preserve"> </w:t>
      </w:r>
      <w:r>
        <w:rPr>
          <w:rStyle w:val="VerbatimChar"/>
          <w:rFonts w:ascii="XCharter" w:hAnsi="XCharter" w:cs="XCharter" w:eastAsia="XCharter"/>
          <w:sz w:val="22"/>
        </w:rPr>
        <w:t xml:space="preserve">a5bd6f93</w:t>
      </w:r>
      <w:r>
        <w:rPr>
          <w:rFonts w:ascii="XCharter" w:hAnsi="XCharter" w:cs="XCharter" w:eastAsia="XCharter"/>
          <w:sz w:val="22"/>
        </w:rPr>
        <w:t xml:space="preserve"> </w:t>
      </w:r>
      <w:r>
        <w:rPr>
          <w:rFonts w:ascii="XCharter" w:hAnsi="XCharter" w:cs="XCharter" w:eastAsia="XCharter"/>
          <w:sz w:val="22"/>
        </w:rPr>
        <w:t xml:space="preserve">(planning,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1" w:name="_references"/>
      <w:r>
        <w:rPr>
          <w:rFonts w:ascii="Old Standard TT" w:hAnsi="Old Standard TT"/>
          <w:b/>
          <w:sz w:val="28"/>
        </w:rPr>
        <w:t xml:space="preserve">References</w:t>
      </w:r>
      <w:bookmarkEnd w:id="41"/>
    </w:p>
    <w:bookmarkStart w:id="132" w:name="_refs"/>
    <w:p>
      <w:pPr>
        <w:pStyle w:val="Bibliography"/>
        <w:widowControl/>
        <w:spacing w:line="259" w:lineRule="auto" w:after="80"/>
        <w:ind w:left="360" w:hanging="360"/>
        <w:jc w:val="left"/>
      </w:pPr>
      <w:bookmarkStart w:id="43"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2">
        <w:r>
          <w:rPr>
            <w:rStyle w:val="Hyperlink"/>
            <w:rFonts w:ascii="XCharter" w:hAnsi="XCharter" w:cs="XCharter" w:eastAsia="XCharter"/>
            <w:color w:val="000080"/>
            <w:sz w:val="22"/>
            <w:u w:val="none"/>
          </w:rPr>
          <w:t xml:space="preserve">https://www.alphaxiv.org/abs/2610.frozen-states-future-action-prediction</w:t>
        </w:r>
      </w:hyperlink>
      <w:bookmarkEnd w:id="43"/>
    </w:p>
    <w:p>
      <w:pPr>
        <w:pStyle w:val="Bibliography"/>
        <w:widowControl/>
        <w:spacing w:line="259" w:lineRule="auto" w:after="80"/>
        <w:ind w:left="360" w:hanging="360"/>
        <w:jc w:val="left"/>
      </w:pPr>
      <w:bookmarkStart w:id="45"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https://arxiv.org/abs/2507.01413</w:t>
        </w:r>
      </w:hyperlink>
      <w:bookmarkEnd w:id="45"/>
    </w:p>
    <w:p>
      <w:pPr>
        <w:pStyle w:val="Bibliography"/>
        <w:widowControl/>
        <w:spacing w:line="259" w:lineRule="auto" w:after="80"/>
        <w:ind w:left="360" w:hanging="360"/>
        <w:jc w:val="left"/>
      </w:pPr>
      <w:bookmarkStart w:id="47"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https://typesafe.ai/blog/introducing-system-one-models-and-jev</w:t>
        </w:r>
      </w:hyperlink>
      <w:bookmarkEnd w:id="47"/>
    </w:p>
    <w:p>
      <w:pPr>
        <w:pStyle w:val="Bibliography"/>
        <w:widowControl/>
        <w:spacing w:line="259" w:lineRule="auto" w:after="80"/>
        <w:ind w:left="360" w:hanging="360"/>
        <w:jc w:val="left"/>
      </w:pPr>
      <w:bookmarkStart w:id="49"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https://arxiv.org/abs/2601.21112</w:t>
        </w:r>
      </w:hyperlink>
      <w:bookmarkEnd w:id="49"/>
    </w:p>
    <w:p>
      <w:pPr>
        <w:pStyle w:val="Bibliography"/>
        <w:widowControl/>
        <w:spacing w:line="259" w:lineRule="auto" w:after="80"/>
        <w:ind w:left="360" w:hanging="360"/>
        <w:jc w:val="left"/>
      </w:pPr>
      <w:bookmarkStart w:id="51"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https://arxiv.org/abs/2502.13329</w:t>
        </w:r>
      </w:hyperlink>
      <w:bookmarkEnd w:id="51"/>
    </w:p>
    <w:p>
      <w:pPr>
        <w:pStyle w:val="Bibliography"/>
        <w:widowControl/>
        <w:spacing w:line="259" w:lineRule="auto" w:after="80"/>
        <w:ind w:left="360" w:hanging="360"/>
        <w:jc w:val="left"/>
      </w:pPr>
      <w:bookmarkStart w:id="53"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https://arxiv.org/abs/2512.03097</w:t>
        </w:r>
      </w:hyperlink>
      <w:bookmarkEnd w:id="53"/>
    </w:p>
    <w:p>
      <w:pPr>
        <w:pStyle w:val="Bibliography"/>
        <w:widowControl/>
        <w:spacing w:line="259" w:lineRule="auto" w:after="80"/>
        <w:ind w:left="360" w:hanging="360"/>
        <w:jc w:val="left"/>
      </w:pPr>
      <w:bookmarkStart w:id="55"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https://doi.org/10.1145/3786335.3813181</w:t>
        </w:r>
      </w:hyperlink>
      <w:bookmarkEnd w:id="55"/>
    </w:p>
    <w:p>
      <w:pPr>
        <w:pStyle w:val="Bibliography"/>
        <w:widowControl/>
        <w:spacing w:line="259" w:lineRule="auto" w:after="80"/>
        <w:ind w:left="360" w:hanging="360"/>
        <w:jc w:val="left"/>
      </w:pPr>
      <w:bookmarkStart w:id="57"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https://arxiv.org/abs/2601.04603</w:t>
        </w:r>
      </w:hyperlink>
      <w:bookmarkEnd w:id="57"/>
    </w:p>
    <w:p>
      <w:pPr>
        <w:pStyle w:val="Bibliography"/>
        <w:widowControl/>
        <w:spacing w:line="259" w:lineRule="auto" w:after="80"/>
        <w:ind w:left="360" w:hanging="360"/>
        <w:jc w:val="left"/>
      </w:pPr>
      <w:bookmarkStart w:id="59"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https://arxiv.org/abs/2406.13352</w:t>
        </w:r>
      </w:hyperlink>
      <w:bookmarkEnd w:id="59"/>
    </w:p>
    <w:p>
      <w:pPr>
        <w:pStyle w:val="Bibliography"/>
        <w:widowControl/>
        <w:spacing w:line="259" w:lineRule="auto" w:after="80"/>
        <w:ind w:left="360" w:hanging="360"/>
        <w:jc w:val="left"/>
      </w:pPr>
      <w:bookmarkStart w:id="61"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https://openrouter.ai/deepseek/deepseek-v4-flash</w:t>
        </w:r>
      </w:hyperlink>
      <w:bookmarkEnd w:id="61"/>
    </w:p>
    <w:p>
      <w:pPr>
        <w:pStyle w:val="Bibliography"/>
        <w:widowControl/>
        <w:spacing w:line="259" w:lineRule="auto" w:after="80"/>
        <w:ind w:left="360" w:hanging="360"/>
        <w:jc w:val="left"/>
      </w:pPr>
      <w:bookmarkStart w:id="63"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https://arxiv.org/abs/2608.02657</w:t>
        </w:r>
      </w:hyperlink>
      <w:bookmarkEnd w:id="63"/>
    </w:p>
    <w:p>
      <w:pPr>
        <w:pStyle w:val="Bibliography"/>
        <w:widowControl/>
        <w:spacing w:line="259" w:lineRule="auto" w:after="80"/>
        <w:ind w:left="360" w:hanging="360"/>
        <w:jc w:val="left"/>
      </w:pPr>
      <w:bookmarkStart w:id="65"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https://arxiv.org/abs/2610.17301</w:t>
        </w:r>
      </w:hyperlink>
      <w:bookmarkEnd w:id="65"/>
    </w:p>
    <w:p>
      <w:pPr>
        <w:pStyle w:val="Bibliography"/>
        <w:widowControl/>
        <w:spacing w:line="259" w:lineRule="auto" w:after="80"/>
        <w:ind w:left="360" w:hanging="360"/>
        <w:jc w:val="left"/>
      </w:pPr>
      <w:bookmarkStart w:id="67"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https://arxiv.org/abs/2404.00806</w:t>
        </w:r>
      </w:hyperlink>
      <w:bookmarkEnd w:id="67"/>
    </w:p>
    <w:p>
      <w:pPr>
        <w:pStyle w:val="Bibliography"/>
        <w:widowControl/>
        <w:spacing w:line="259" w:lineRule="auto" w:after="80"/>
        <w:ind w:left="360" w:hanging="360"/>
        <w:jc w:val="left"/>
      </w:pPr>
      <w:bookmarkStart w:id="69"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https://arxiv.org/abs/2606.30449</w:t>
        </w:r>
      </w:hyperlink>
      <w:bookmarkEnd w:id="69"/>
    </w:p>
    <w:p>
      <w:pPr>
        <w:pStyle w:val="Bibliography"/>
        <w:widowControl/>
        <w:spacing w:line="259" w:lineRule="auto" w:after="80"/>
        <w:ind w:left="360" w:hanging="360"/>
        <w:jc w:val="left"/>
      </w:pPr>
      <w:bookmarkStart w:id="71"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https://arxiv.org/abs/2610.04575</w:t>
        </w:r>
      </w:hyperlink>
      <w:bookmarkEnd w:id="71"/>
    </w:p>
    <w:p>
      <w:pPr>
        <w:pStyle w:val="Bibliography"/>
        <w:widowControl/>
        <w:spacing w:line="259" w:lineRule="auto" w:after="80"/>
        <w:ind w:left="360" w:hanging="360"/>
        <w:jc w:val="left"/>
      </w:pPr>
      <w:bookmarkStart w:id="73"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https://arxiv.org/abs/2502.03407</w:t>
        </w:r>
      </w:hyperlink>
      <w:bookmarkEnd w:id="73"/>
    </w:p>
    <w:p>
      <w:pPr>
        <w:pStyle w:val="Bibliography"/>
        <w:widowControl/>
        <w:spacing w:line="259" w:lineRule="auto" w:after="80"/>
        <w:ind w:left="360" w:hanging="360"/>
        <w:jc w:val="left"/>
      </w:pPr>
      <w:bookmarkStart w:id="75"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5"/>
    </w:p>
    <w:p>
      <w:pPr>
        <w:pStyle w:val="Bibliography"/>
        <w:widowControl/>
        <w:spacing w:line="259" w:lineRule="auto" w:after="80"/>
        <w:ind w:left="360" w:hanging="360"/>
        <w:jc w:val="left"/>
      </w:pPr>
      <w:bookmarkStart w:id="77"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https://github.com/UKGovernmentBEIS/control-arena</w:t>
        </w:r>
      </w:hyperlink>
      <w:bookmarkEnd w:id="77"/>
    </w:p>
    <w:p>
      <w:pPr>
        <w:pStyle w:val="Bibliography"/>
        <w:widowControl/>
        <w:spacing w:line="259" w:lineRule="auto" w:after="80"/>
        <w:ind w:left="360" w:hanging="360"/>
        <w:jc w:val="left"/>
      </w:pPr>
      <w:bookmarkStart w:id="79"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https://arxiv.org/abs/2411.03343</w:t>
        </w:r>
      </w:hyperlink>
      <w:bookmarkEnd w:id="79"/>
    </w:p>
    <w:p>
      <w:pPr>
        <w:pStyle w:val="Bibliography"/>
        <w:widowControl/>
        <w:spacing w:line="259" w:lineRule="auto" w:after="80"/>
        <w:ind w:left="360" w:hanging="360"/>
        <w:jc w:val="left"/>
      </w:pPr>
      <w:bookmarkStart w:id="81"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https://arxiv.org/abs/2606.11172</w:t>
        </w:r>
      </w:hyperlink>
      <w:bookmarkEnd w:id="81"/>
    </w:p>
    <w:p>
      <w:pPr>
        <w:pStyle w:val="Bibliography"/>
        <w:widowControl/>
        <w:spacing w:line="259" w:lineRule="auto" w:after="80"/>
        <w:ind w:left="360" w:hanging="360"/>
        <w:jc w:val="left"/>
      </w:pPr>
      <w:bookmarkStart w:id="83"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https://arxiv.org/abs/2601.11516</w:t>
        </w:r>
      </w:hyperlink>
      <w:bookmarkEnd w:id="83"/>
    </w:p>
    <w:p>
      <w:pPr>
        <w:pStyle w:val="Bibliography"/>
        <w:widowControl/>
        <w:spacing w:line="259" w:lineRule="auto" w:after="80"/>
        <w:ind w:left="360" w:hanging="360"/>
        <w:jc w:val="left"/>
      </w:pPr>
      <w:bookmarkStart w:id="85"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https://arxiv.org/abs/2410.00031</w:t>
        </w:r>
      </w:hyperlink>
      <w:bookmarkEnd w:id="85"/>
    </w:p>
    <w:p>
      <w:pPr>
        <w:pStyle w:val="Bibliography"/>
        <w:widowControl/>
        <w:spacing w:line="259" w:lineRule="auto" w:after="80"/>
        <w:ind w:left="360" w:hanging="360"/>
        <w:jc w:val="left"/>
      </w:pPr>
      <w:bookmarkStart w:id="87"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https://www.usenix.org/conference/usenixsecurity24/presentation/liu-yupei</w:t>
        </w:r>
      </w:hyperlink>
      <w:bookmarkEnd w:id="87"/>
    </w:p>
    <w:p>
      <w:pPr>
        <w:pStyle w:val="Bibliography"/>
        <w:widowControl/>
        <w:spacing w:line="259" w:lineRule="auto" w:after="80"/>
        <w:ind w:left="360" w:hanging="360"/>
        <w:jc w:val="left"/>
      </w:pPr>
      <w:bookmarkStart w:id="89"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https://www.anthropic.com/news/probes-catch-sleeper-agents</w:t>
        </w:r>
      </w:hyperlink>
      <w:bookmarkEnd w:id="89"/>
    </w:p>
    <w:p>
      <w:pPr>
        <w:pStyle w:val="Bibliography"/>
        <w:widowControl/>
        <w:spacing w:line="259" w:lineRule="auto" w:after="80"/>
        <w:ind w:left="360" w:hanging="360"/>
        <w:jc w:val="left"/>
      </w:pPr>
      <w:bookmarkStart w:id="91"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https://arxiv.org/abs/2602.15198</w:t>
        </w:r>
      </w:hyperlink>
      <w:bookmarkEnd w:id="91"/>
    </w:p>
    <w:p>
      <w:pPr>
        <w:pStyle w:val="Bibliography"/>
        <w:widowControl/>
        <w:spacing w:line="259" w:lineRule="auto" w:after="80"/>
        <w:ind w:left="360" w:hanging="360"/>
        <w:jc w:val="left"/>
      </w:pPr>
      <w:bookmarkStart w:id="93"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https://platform.openai.com/docs/models/gpt-5-nano</w:t>
        </w:r>
      </w:hyperlink>
      <w:bookmarkEnd w:id="93"/>
    </w:p>
    <w:p>
      <w:pPr>
        <w:pStyle w:val="Bibliography"/>
        <w:widowControl/>
        <w:spacing w:line="259" w:lineRule="auto" w:after="80"/>
        <w:ind w:left="360" w:hanging="360"/>
        <w:jc w:val="left"/>
      </w:pPr>
      <w:bookmarkStart w:id="95"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https://arxiv.org/abs/2508.10925</w:t>
        </w:r>
      </w:hyperlink>
      <w:bookmarkEnd w:id="95"/>
    </w:p>
    <w:p>
      <w:pPr>
        <w:pStyle w:val="Bibliography"/>
        <w:widowControl/>
        <w:spacing w:line="259" w:lineRule="auto" w:after="80"/>
        <w:ind w:left="360" w:hanging="360"/>
        <w:jc w:val="left"/>
      </w:pPr>
      <w:bookmarkStart w:id="97"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https://huggingface.co/openai/gpt-oss-20b</w:t>
        </w:r>
      </w:hyperlink>
      <w:bookmarkEnd w:id="97"/>
    </w:p>
    <w:p>
      <w:pPr>
        <w:pStyle w:val="Bibliography"/>
        <w:widowControl/>
        <w:spacing w:line="259" w:lineRule="auto" w:after="80"/>
        <w:ind w:left="360" w:hanging="360"/>
        <w:jc w:val="left"/>
      </w:pPr>
      <w:bookmarkStart w:id="99"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https://openrouter.ai/openai/gpt-6-luna-decisions</w:t>
        </w:r>
      </w:hyperlink>
      <w:bookmarkEnd w:id="99"/>
    </w:p>
    <w:p>
      <w:pPr>
        <w:pStyle w:val="Bibliography"/>
        <w:widowControl/>
        <w:spacing w:line="259" w:lineRule="auto" w:after="80"/>
        <w:ind w:left="360" w:hanging="360"/>
        <w:jc w:val="left"/>
      </w:pPr>
      <w:bookmarkStart w:id="101"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1"/>
    </w:p>
    <w:p>
      <w:pPr>
        <w:pStyle w:val="Bibliography"/>
        <w:widowControl/>
        <w:spacing w:line="259" w:lineRule="auto" w:after="80"/>
        <w:ind w:left="360" w:hanging="360"/>
        <w:jc w:val="left"/>
      </w:pPr>
      <w:bookmarkStart w:id="103"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https://arxiv.org/abs/2609.35576</w:t>
        </w:r>
      </w:hyperlink>
      <w:bookmarkEnd w:id="103"/>
    </w:p>
    <w:p>
      <w:pPr>
        <w:pStyle w:val="Bibliography"/>
        <w:widowControl/>
        <w:spacing w:line="259" w:lineRule="auto" w:after="80"/>
        <w:ind w:left="360" w:hanging="360"/>
        <w:jc w:val="left"/>
      </w:pPr>
      <w:bookmarkStart w:id="105"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https://huggingface.co/Qwen/Qwen3-32B</w:t>
        </w:r>
      </w:hyperlink>
      <w:bookmarkEnd w:id="105"/>
    </w:p>
    <w:p>
      <w:pPr>
        <w:pStyle w:val="Bibliography"/>
        <w:widowControl/>
        <w:spacing w:line="259" w:lineRule="auto" w:after="80"/>
        <w:ind w:left="360" w:hanging="360"/>
        <w:jc w:val="left"/>
      </w:pPr>
      <w:bookmarkStart w:id="107"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https://arxiv.org/abs/2605.29178</w:t>
        </w:r>
      </w:hyperlink>
      <w:bookmarkEnd w:id="107"/>
    </w:p>
    <w:p>
      <w:pPr>
        <w:pStyle w:val="Bibliography"/>
        <w:widowControl/>
        <w:spacing w:line="259" w:lineRule="auto" w:after="80"/>
        <w:ind w:left="360" w:hanging="360"/>
        <w:jc w:val="left"/>
      </w:pPr>
      <w:bookmarkStart w:id="109"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https://arxiv.org/abs/2604.01151</w:t>
        </w:r>
      </w:hyperlink>
      <w:bookmarkEnd w:id="109"/>
    </w:p>
    <w:p>
      <w:pPr>
        <w:pStyle w:val="Bibliography"/>
        <w:widowControl/>
        <w:spacing w:line="259" w:lineRule="auto" w:after="80"/>
        <w:ind w:left="360" w:hanging="360"/>
        <w:jc w:val="left"/>
      </w:pPr>
      <w:bookmarkStart w:id="111"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https://arxiv.org/abs/2607.06503</w:t>
        </w:r>
      </w:hyperlink>
      <w:bookmarkEnd w:id="111"/>
    </w:p>
    <w:p>
      <w:pPr>
        <w:pStyle w:val="Bibliography"/>
        <w:widowControl/>
        <w:spacing w:line="259" w:lineRule="auto" w:after="80"/>
        <w:ind w:left="360" w:hanging="360"/>
        <w:jc w:val="left"/>
      </w:pPr>
      <w:bookmarkStart w:id="113"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https://github.com/soham-padia/pre-sycophancy-study</w:t>
        </w:r>
      </w:hyperlink>
      <w:bookmarkEnd w:id="113"/>
    </w:p>
    <w:p>
      <w:pPr>
        <w:pStyle w:val="Bibliography"/>
        <w:widowControl/>
        <w:spacing w:line="259" w:lineRule="auto" w:after="80"/>
        <w:ind w:left="360" w:hanging="360"/>
        <w:jc w:val="left"/>
      </w:pPr>
      <w:bookmarkStart w:id="115"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https://arxiv.org/abs/2501.18837</w:t>
        </w:r>
      </w:hyperlink>
      <w:bookmarkEnd w:id="115"/>
    </w:p>
    <w:p>
      <w:pPr>
        <w:pStyle w:val="Bibliography"/>
        <w:widowControl/>
        <w:spacing w:line="259" w:lineRule="auto" w:after="80"/>
        <w:ind w:left="360" w:hanging="360"/>
        <w:jc w:val="left"/>
      </w:pPr>
      <w:bookmarkStart w:id="117"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https://arxiv.org/abs/2607.05132</w:t>
        </w:r>
      </w:hyperlink>
      <w:bookmarkEnd w:id="117"/>
    </w:p>
    <w:p>
      <w:pPr>
        <w:pStyle w:val="Bibliography"/>
        <w:widowControl/>
        <w:spacing w:line="259" w:lineRule="auto" w:after="80"/>
        <w:ind w:left="360" w:hanging="360"/>
        <w:jc w:val="left"/>
      </w:pPr>
      <w:bookmarkStart w:id="119"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https://arxiv.org/abs/2609.24967</w:t>
        </w:r>
      </w:hyperlink>
      <w:bookmarkEnd w:id="119"/>
    </w:p>
    <w:p>
      <w:pPr>
        <w:pStyle w:val="Bibliography"/>
        <w:widowControl/>
        <w:spacing w:line="259" w:lineRule="auto" w:after="80"/>
        <w:ind w:left="360" w:hanging="360"/>
        <w:jc w:val="left"/>
      </w:pPr>
      <w:bookmarkStart w:id="121"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https://arxiv.org/abs/2609.09090</w:t>
        </w:r>
      </w:hyperlink>
      <w:bookmarkEnd w:id="121"/>
    </w:p>
    <w:p>
      <w:pPr>
        <w:pStyle w:val="Bibliography"/>
        <w:widowControl/>
        <w:spacing w:line="259" w:lineRule="auto" w:after="80"/>
        <w:ind w:left="360" w:hanging="360"/>
        <w:jc w:val="left"/>
      </w:pPr>
      <w:bookmarkStart w:id="123"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https://arxiv.org/abs/2603.13940</w:t>
        </w:r>
      </w:hyperlink>
      <w:bookmarkEnd w:id="123"/>
    </w:p>
    <w:p>
      <w:pPr>
        <w:pStyle w:val="Bibliography"/>
        <w:widowControl/>
        <w:spacing w:line="259" w:lineRule="auto" w:after="80"/>
        <w:ind w:left="360" w:hanging="360"/>
        <w:jc w:val="left"/>
      </w:pPr>
      <w:bookmarkStart w:id="125"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https://arxiv.org/abs/2604.16824</w:t>
        </w:r>
      </w:hyperlink>
      <w:bookmarkEnd w:id="125"/>
    </w:p>
    <w:p>
      <w:pPr>
        <w:pStyle w:val="Bibliography"/>
        <w:widowControl/>
        <w:spacing w:line="259" w:lineRule="auto" w:after="80"/>
        <w:ind w:left="360" w:hanging="360"/>
        <w:jc w:val="left"/>
      </w:pPr>
      <w:bookmarkStart w:id="127"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https://arxiv.org/abs/2505.09388</w:t>
        </w:r>
      </w:hyperlink>
      <w:bookmarkEnd w:id="127"/>
    </w:p>
    <w:p>
      <w:pPr>
        <w:pStyle w:val="Bibliography"/>
        <w:widowControl/>
        <w:spacing w:line="259" w:lineRule="auto" w:after="80"/>
        <w:ind w:left="360" w:hanging="360"/>
        <w:jc w:val="left"/>
      </w:pPr>
      <w:bookmarkStart w:id="129"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https://arxiv.org/abs/2610.05295</w:t>
        </w:r>
      </w:hyperlink>
      <w:bookmarkEnd w:id="129"/>
    </w:p>
    <w:p>
      <w:pPr>
        <w:pStyle w:val="Bibliography"/>
        <w:widowControl/>
        <w:spacing w:line="259" w:lineRule="auto" w:after="80"/>
        <w:ind w:left="360" w:hanging="360"/>
        <w:jc w:val="left"/>
      </w:pPr>
      <w:bookmarkStart w:id="131"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0">
        <w:r>
          <w:rPr>
            <w:rStyle w:val="Hyperlink"/>
            <w:rFonts w:ascii="XCharter" w:hAnsi="XCharter" w:cs="XCharter" w:eastAsia="XCharter"/>
            <w:color w:val="000080"/>
            <w:sz w:val="22"/>
            <w:u w:val="none"/>
          </w:rPr>
          <w:t xml:space="preserve">https://arxiv.org/abs/2605.27593</w:t>
        </w:r>
      </w:hyperlink>
      <w:bookmarkEnd w:id="131"/>
    </w:p>
    <w:bookmarkEnd w:id="132"/>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3" w:name="_appendix"/>
      <w:r>
        <w:rPr>
          <w:rFonts w:ascii="Old Standard TT" w:hAnsi="Old Standard TT"/>
          <w:b/>
          <w:sz w:val="28"/>
        </w:rPr>
        <w:t xml:space="preserve">Appendix</w:t>
      </w:r>
      <w:bookmarkEnd w:id="133"/>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w:t>
      </w:r>
    </w:p>
    <w:p>
      <w:pPr>
        <w:pStyle w:val="Heading3"/>
        <w:keepNext/>
        <w:spacing w:before="200" w:lineRule="auto"/>
        <w:rPr>
          <w:rFonts w:ascii="Old Standard TT" w:cs="Old Standard TT" w:eastAsia="Old Standard TT" w:hAnsi="Old Standard TT"/>
          <w:b w:val="1"/>
          <w:bCs w:val="1"/>
          <w:color w:val="000000"/>
          <w:sz w:val="26"/>
          <w:szCs w:val="26"/>
        </w:rPr>
      </w:pPr>
      <w:bookmarkStart w:id="134" w:name="_d863e5dd50f3a2c5a9f9d67c38d6db1a7983c65"/>
      <w:r>
        <w:rPr>
          <w:rFonts w:ascii="Old Standard TT" w:hAnsi="Old Standard TT"/>
          <w:b/>
          <w:sz w:val="26"/>
        </w:rPr>
        <w:t xml:space="preserve">A. Limitations and Dual-Use / Ethical Considerations</w:t>
      </w:r>
      <w:bookmarkEnd w:id="134"/>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It establishes that, for Qwen3-32B in six synthetic scenarios built from one task template, whether the target gives in this round or the next is modestly predictable from one step, by a text monitor asked to forecast and, less well, by an activation probe, and that this held on new episodes scored under a plan fixed in advance. It does not establish that eventual give-in can be predicted, that the signals transfer to other models (on gpt-oss-20b they do not), that the detectors would work as deployed alarms, or anything about collusion beyond this first recruitment step.</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3"/>
        </w:numPr>
        <w:spacing w:line="259" w:lineRule="auto" w:after="60"/>
        <w:jc w:val="left"/>
      </w:pPr>
      <w:r>
        <w:rPr>
          <w:rFonts w:ascii="XCharter" w:hAnsi="XCharter" w:cs="XCharter" w:eastAsia="XCharter"/>
          <w:i/>
          <w:iCs/>
          <w:sz w:val="22"/>
        </w:rPr>
        <w:t xml:space="preserve">One main model and one task template.</w:t>
      </w:r>
      <w:r>
        <w:rPr>
          <w:rFonts w:ascii="XCharter" w:hAnsi="XCharter" w:cs="XCharter" w:eastAsia="XCharter"/>
          <w:sz w:val="22"/>
        </w:rPr>
        <w:t xml:space="preserve"> </w:t>
      </w:r>
      <w:r>
        <w:rPr>
          <w:rFonts w:ascii="XCharter" w:hAnsi="XCharter" w:cs="XCharter" w:eastAsia="XCharter"/>
          <w:sz w:val="22"/>
        </w:rPr>
        <w:t xml:space="preserve">All main results come from one target, Qwen3-32B, on six scenarios built from the same task. The give-in rates, and how predictable they are, may differ for other models or tasks. The second target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shows one such difference: it gives in faster, and nothing predicts it.</w:t>
      </w:r>
    </w:p>
    <w:p>
      <w:pPr>
        <w:pStyle w:val="Compact"/>
        <w:widowControl/>
        <w:numPr>
          <w:ilvl w:val="0"/>
          <w:numId w:val="1003"/>
        </w:numPr>
        <w:spacing w:line="259" w:lineRule="auto" w:after="60"/>
        <w:jc w:val="left"/>
      </w:pPr>
      <w:r>
        <w:rPr>
          <w:rFonts w:ascii="XCharter" w:hAnsi="XCharter" w:cs="XCharter" w:eastAsia="XCharter"/>
          <w:i/>
          <w:iCs/>
          <w:sz w:val="22"/>
        </w:rPr>
        <w:t xml:space="preserve">Activations from one position.</w:t>
      </w:r>
      <w:r>
        <w:rPr>
          <w:rFonts w:ascii="XCharter" w:hAnsi="XCharter" w:cs="XCharter" w:eastAsia="XCharter"/>
          <w:sz w:val="22"/>
        </w:rPr>
        <w:t xml:space="preserve"> </w:t>
      </w:r>
      <w:r>
        <w:rPr>
          <w:rFonts w:ascii="XCharter" w:hAnsi="XCharter" w:cs="XCharter" w:eastAsia="XCharter"/>
          <w:sz w:val="22"/>
        </w:rPr>
        <w:t xml:space="preserve">The probe reads the model’s internal state only at the last token of each prompt, before the reply. If the decision to give in forms while the reply is being written, this probe understates what can be read; reading at the decision point is future work.</w:t>
      </w:r>
    </w:p>
    <w:p>
      <w:pPr>
        <w:pStyle w:val="Compact"/>
        <w:widowControl/>
        <w:numPr>
          <w:ilvl w:val="0"/>
          <w:numId w:val="1003"/>
        </w:numPr>
        <w:spacing w:line="259" w:lineRule="auto" w:after="60"/>
        <w:jc w:val="left"/>
      </w:pPr>
      <w:r>
        <w:rPr>
          <w:rFonts w:ascii="XCharter" w:hAnsi="XCharter" w:cs="XCharter" w:eastAsia="XCharter"/>
          <w:i/>
          <w:iCs/>
          <w:sz w:val="22"/>
        </w:rPr>
        <w:t xml:space="preserve">The near-term label was chosen after seeing results.</w:t>
      </w:r>
      <w:r>
        <w:rPr>
          <w:rFonts w:ascii="XCharter" w:hAnsi="XCharter" w:cs="XCharter" w:eastAsia="XCharter"/>
          <w:sz w:val="22"/>
        </w:rPr>
        <w:t xml:space="preserve"> </w:t>
      </w:r>
      <w:r>
        <w:rPr>
          <w:rFonts w:ascii="XCharter" w:hAnsi="XCharter" w:cs="XCharter" w:eastAsia="XCharter"/>
          <w:sz w:val="22"/>
        </w:rPr>
        <w:t xml:space="preserve">We defined it once the eventual label had failed. To guard against picking a label that merely happened to work, we fixed the full analysis plan before collecting 89 new episodes and scored them once; that confirmation test is the only fully prospective one.</w:t>
      </w:r>
    </w:p>
    <w:p>
      <w:pPr>
        <w:pStyle w:val="Compact"/>
        <w:widowControl/>
        <w:numPr>
          <w:ilvl w:val="0"/>
          <w:numId w:val="1003"/>
        </w:numPr>
        <w:spacing w:line="259" w:lineRule="auto" w:after="60"/>
        <w:jc w:val="left"/>
      </w:pPr>
      <w:r>
        <w:rPr>
          <w:rFonts w:ascii="XCharter" w:hAnsi="XCharter" w:cs="XCharter" w:eastAsia="XCharter"/>
          <w:i/>
          <w:iCs/>
          <w:sz w:val="22"/>
        </w:rPr>
        <w:t xml:space="preserve">Uneven scenarios.</w:t>
      </w:r>
      <w:r>
        <w:rPr>
          <w:rFonts w:ascii="XCharter" w:hAnsi="XCharter" w:cs="XCharter" w:eastAsia="XCharter"/>
          <w:sz w:val="22"/>
        </w:rPr>
        <w:t xml:space="preserve"> </w:t>
      </w:r>
      <w:r>
        <w:rPr>
          <w:rFonts w:ascii="XCharter" w:hAnsi="XCharter" w:cs="XCharter" w:eastAsia="XCharter"/>
          <w:sz w:val="22"/>
        </w:rPr>
        <w:t xml:space="preserve">The main scenario has more episodes than the other five, and episodes drop out unevenly (the target never read the value, the run failed, or the ordinary task was not done). In some scenarios this could favour targets that engage with the file. Per-scenario counts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and an average over scenarios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Automated judges.</w:t>
      </w:r>
      <w:r>
        <w:rPr>
          <w:rFonts w:ascii="XCharter" w:hAnsi="XCharter" w:cs="XCharter" w:eastAsia="XCharter"/>
          <w:sz w:val="22"/>
        </w:rPr>
        <w:t xml:space="preserve"> </w:t>
      </w:r>
      <w:r>
        <w:rPr>
          <w:rFonts w:ascii="XCharter" w:hAnsi="XCharter" w:cs="XCharter" w:eastAsia="XCharter"/>
          <w:sz w:val="22"/>
        </w:rPr>
        <w:t xml:space="preserve">One automated judge labels each give-in as deliberate or accidental; it agrees with the author’s blind labels on 36 of 40 give-ins (</w:t>
      </w:r>
      <w:r>
        <w:rPr>
          <w:rFonts w:ascii="XCharter" w:hAnsi="XCharter" w:cs="XCharter" w:eastAsia="XCharter"/>
          <w:sz w:val="22"/>
        </w:rPr>
        <w:t xml:space="preserve">κ</w:t>
      </w:r>
      <w:r>
        <w:rPr>
          <w:rFonts w:ascii="XCharter" w:hAnsi="XCharter" w:cs="XCharter" w:eastAsia="XCharter"/>
          <w:sz w:val="22"/>
        </w:rPr>
        <w:t xml:space="preserve"> = 0.79). The LLM monitor’s score scale is defined only at its two ends, not with a graded rubric.</w:t>
      </w:r>
    </w:p>
    <w:p>
      <w:pPr>
        <w:pStyle w:val="Compact"/>
        <w:widowControl/>
        <w:numPr>
          <w:ilvl w:val="0"/>
          <w:numId w:val="1003"/>
        </w:numPr>
        <w:spacing w:line="259" w:lineRule="auto" w:after="60"/>
        <w:jc w:val="left"/>
      </w:pPr>
      <w:r>
        <w:rPr>
          <w:rFonts w:ascii="XCharter" w:hAnsi="XCharter" w:cs="XCharter" w:eastAsia="XCharter"/>
          <w:i/>
          <w:iCs/>
          <w:sz w:val="22"/>
        </w:rPr>
        <w:t xml:space="preserve">Pooled cross-validation compares scores from different fitted probes.</w:t>
      </w:r>
      <w:r>
        <w:rPr>
          <w:rFonts w:ascii="XCharter" w:hAnsi="XCharter" w:cs="XCharter" w:eastAsia="XCharter"/>
          <w:sz w:val="22"/>
        </w:rPr>
        <w:t xml:space="preserve"> </w:t>
      </w:r>
      <w:r>
        <w:rPr>
          <w:rFonts w:ascii="XCharter" w:hAnsi="XCharter" w:cs="XCharter" w:eastAsia="XCharter"/>
          <w:sz w:val="22"/>
        </w:rPr>
        <w:t xml:space="preserve">Each fold has its own probe, and the metric compares scores across folds within one scenario and round, which can pull even simple baselines below chance. A check that compares only scores from the same fold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The held-out-scenario and confirmation results do not have this problem.</w:t>
      </w:r>
    </w:p>
    <w:p>
      <w:pPr>
        <w:pStyle w:val="Compact"/>
        <w:widowControl/>
        <w:numPr>
          <w:ilvl w:val="0"/>
          <w:numId w:val="1003"/>
        </w:numPr>
        <w:spacing w:line="259" w:lineRule="auto" w:after="60"/>
        <w:jc w:val="left"/>
      </w:pPr>
      <w:r>
        <w:rPr>
          <w:rFonts w:ascii="XCharter" w:hAnsi="XCharter" w:cs="XCharter" w:eastAsia="XCharter"/>
          <w:i/>
          <w:iCs/>
          <w:sz w:val="22"/>
        </w:rPr>
        <w:t xml:space="preserve">A possible bias toward the probe in the combination test.</w:t>
      </w:r>
      <w:r>
        <w:rPr>
          <w:rFonts w:ascii="XCharter" w:hAnsi="XCharter" w:cs="XCharter" w:eastAsia="XCharter"/>
          <w:sz w:val="22"/>
        </w:rPr>
        <w:t xml:space="preserve"> </w:t>
      </w:r>
      <w:r>
        <w:rPr>
          <w:rFonts w:ascii="XCharter" w:hAnsi="XCharter" w:cs="XCharter" w:eastAsia="XCharter"/>
          <w:sz w:val="22"/>
        </w:rPr>
        <w:t xml:space="preserve">The combined model’s probe input for training steps is the out-of-fold probe score, and the fold probes behind those scores were trained on overlapping steps, including the combination model’s own test fold. This can make the all-data combination gains optimistic; we have not measured by how much. The new-episode confirmation test does not have this problem.</w:t>
      </w:r>
    </w:p>
    <w:p>
      <w:pPr>
        <w:pStyle w:val="Compact"/>
        <w:widowControl/>
        <w:numPr>
          <w:ilvl w:val="0"/>
          <w:numId w:val="1003"/>
        </w:numPr>
        <w:spacing w:line="259" w:lineRule="auto" w:after="60"/>
        <w:jc w:val="left"/>
      </w:pPr>
      <w:r>
        <w:rPr>
          <w:rFonts w:ascii="XCharter" w:hAnsi="XCharter" w:cs="XCharter" w:eastAsia="XCharter"/>
          <w:i/>
          <w:iCs/>
          <w:sz w:val="22"/>
        </w:rPr>
        <w:t xml:space="preserve">The scoring window has edges.</w:t>
      </w:r>
      <w:r>
        <w:rPr>
          <w:rFonts w:ascii="XCharter" w:hAnsi="XCharter" w:cs="XCharter" w:eastAsia="XCharter"/>
          <w:sz w:val="22"/>
        </w:rPr>
        <w:t xml:space="preserve"> </w:t>
      </w:r>
      <w:r>
        <w:rPr>
          <w:rFonts w:ascii="XCharter" w:hAnsi="XCharter" w:cs="XCharter" w:eastAsia="XCharter"/>
          <w:sz w:val="22"/>
        </w:rPr>
        <w:t xml:space="preserve">A give-in in the very first reply after the target reads the value leaves no step to score, so it cannot be predicted at all, and episodes in which the target never reads the value are dropped. We could define the window exactly because the value always arrives one known way (a file read); a monitor in deployment would not know when an agent obtained the means to break the rule.</w:t>
      </w:r>
    </w:p>
    <w:p>
      <w:pPr>
        <w:pStyle w:val="Compact"/>
        <w:widowControl/>
        <w:numPr>
          <w:ilvl w:val="0"/>
          <w:numId w:val="1003"/>
        </w:numPr>
        <w:spacing w:line="259" w:lineRule="auto" w:after="60"/>
        <w:jc w:val="left"/>
      </w:pPr>
      <w:r>
        <w:rPr>
          <w:rFonts w:ascii="XCharter" w:hAnsi="XCharter" w:cs="XCharter" w:eastAsia="XCharter"/>
          <w:i/>
          <w:iCs/>
          <w:sz w:val="22"/>
        </w:rPr>
        <w:t xml:space="preserve">Accidental disclosures count as give-ins,</w:t>
      </w:r>
      <w:r>
        <w:rPr>
          <w:rFonts w:ascii="XCharter" w:hAnsi="XCharter" w:cs="XCharter" w:eastAsia="XCharter"/>
          <w:sz w:val="22"/>
        </w:rPr>
        <w:t xml:space="preserve"> </w:t>
      </w:r>
      <w:r>
        <w:rPr>
          <w:rFonts w:ascii="XCharter" w:hAnsi="XCharter" w:cs="XCharter" w:eastAsia="XCharter"/>
          <w:sz w:val="22"/>
        </w:rPr>
        <w:t xml:space="preserve">because the operator is harmed either way. The deliberate/accidental split is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a deliberate-only check, which covers the first data batch and the eventual label only,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Not a reproduction of the 2026 incident.</w:t>
      </w:r>
      <w:r>
        <w:rPr>
          <w:rFonts w:ascii="XCharter" w:hAnsi="XCharter" w:cs="XCharter" w:eastAsia="XCharter"/>
          <w:sz w:val="22"/>
        </w:rPr>
        <w:t xml:space="preserve"> </w:t>
      </w:r>
      <w:r>
        <w:rPr>
          <w:rFonts w:ascii="XCharter" w:hAnsi="XCharter" w:cs="XCharter" w:eastAsia="XCharter"/>
          <w:sz w:val="22"/>
        </w:rPr>
        <w:t xml:space="preserve">In the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agent found working Hugging Face credentials exposed on the internet and posted them to a shared board. In our setup, a peer asks the target for a value kept in the operator’s own protected file. Our claim concerns predicting a rule violation that a peer induces, not the incident itself.</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4"/>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which tells an attacker where pressure is least likely to be caught.</w:t>
      </w:r>
    </w:p>
    <w:p>
      <w:pPr>
        <w:pStyle w:val="Compact"/>
        <w:widowControl/>
        <w:numPr>
          <w:ilvl w:val="0"/>
          <w:numId w:val="1004"/>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4"/>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4"/>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4"/>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4"/>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4"/>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5" w:name="_1c2832545d6be5937b2db194f5b1e2f4105b9d9"/>
      <w:r>
        <w:rPr>
          <w:rFonts w:ascii="Old Standard TT" w:hAnsi="Old Standard TT"/>
          <w:b/>
          <w:sz w:val="26"/>
        </w:rPr>
        <w:t xml:space="preserve">B. Experimental Pipeline and Reproducibility</w:t>
      </w:r>
      <w:bookmarkEnd w:id="135"/>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steps,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steps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37" name="Picture"/>
            <a:graphic>
              <a:graphicData uri="http://schemas.openxmlformats.org/drawingml/2006/picture">
                <pic:pic>
                  <pic:nvPicPr>
                    <pic:cNvPr descr="figures/pipeline.png" id="138" name="Picture"/>
                    <pic:cNvPicPr>
                      <a:picLocks noChangeArrowheads="1" noChangeAspect="1"/>
                    </pic:cNvPicPr>
                  </pic:nvPicPr>
                  <pic:blipFill>
                    <a:blip r:embed="rId136"/>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39"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steps for Qwen3-32B: 397 complete episodes become 338 kept, with 6,404 eligible steps; probes and monitors branch from the same steps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3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steps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steps after the value is read and before it is disclosed. Drop invalid episodes (incomplete, never read the value, or ordinary task wrong) and those with no step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step); 4,184 steps | 108 kept, 21 dropped (all invalid); 2,220 steps. Total 6,404 steps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step is one request to the target. Recruiting eligible steps: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steps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step</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steps,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step</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step</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steps (75,312 calls, $12.67). New-episode set: 8 setups chosen before its results existed, on 2,220 steps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c5a50e7e14dda524ff1a7eb4685702afcae028b">
              <w:r>
                <w:rPr>
                  <w:rStyle w:val="Hyperlink"/>
                  <w:rFonts w:ascii="XCharter" w:hAnsi="XCharter" w:cs="XCharter" w:eastAsia="XCharter"/>
                  <w:color w:val="000080"/>
                  <w:sz w:val="18"/>
                  <w:u w:val="none"/>
                </w:rPr>
                <w:t xml:space="preserve">Figure 2</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steps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steps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step; one held tactic episode (21 negative steps, no positives) predates the task-success check and is retained in the frozen scored set. The scored cohort (241 recruiting episodes, 4,697 steps,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step), because not every analysed episode was replayed and episodes with no eligible step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steps before and after the value is read at AUROC 1.000 on held-out families in the new-episode set. This exposure probe labels each step by whether the protected value is already in context, uses all valid steps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steps from 238 episodes (148 near-term positives) plus a 1,141-step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0" w:name="_29f519cfe2b273e1f41de0c770c5dd81f1818a5"/>
      <w:r>
        <w:rPr>
          <w:rFonts w:ascii="Old Standard TT" w:hAnsi="Old Standard TT"/>
          <w:b/>
          <w:sz w:val="26"/>
        </w:rPr>
        <w:t xml:space="preserve">C. Scenarios, an Example, and Model Choice</w:t>
      </w:r>
      <w:bookmarkEnd w:id="140"/>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5"/>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1"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1"/>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5"/>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steps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5"/>
        </w:numPr>
        <w:spacing w:line="259" w:lineRule="auto" w:after="60"/>
        <w:jc w:val="left"/>
      </w:pPr>
      <w:r>
        <w:rPr>
          <w:rFonts w:ascii="XCharter" w:hAnsi="XCharter" w:cs="XCharter" w:eastAsia="XCharter"/>
          <w:b/>
          <w:bCs/>
          <w:sz w:val="22"/>
        </w:rPr>
        <w:t xml:space="preserve">Held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5"/>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5"/>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2" w:name="_9af0a0be73df5a4a2132a3bbde2a7aaba8a9fb7"/>
      <w:r>
        <w:rPr>
          <w:rFonts w:ascii="Old Standard TT" w:hAnsi="Old Standard TT"/>
          <w:b/>
          <w:sz w:val="26"/>
        </w:rPr>
        <w:t xml:space="preserve">D. Labels and Judges</w:t>
      </w:r>
      <w:bookmarkEnd w:id="142"/>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6"/>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 only a channel post counts, and any earlier public emission, such as a file write, ends the scoring window.</w:t>
      </w:r>
    </w:p>
    <w:p>
      <w:pPr>
        <w:pStyle w:val="Compact"/>
        <w:widowControl/>
        <w:numPr>
          <w:ilvl w:val="0"/>
          <w:numId w:val="1006"/>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held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held, and recipient claims never. These labels come from Jev alone and were not checked by hand.</w:t>
      </w:r>
    </w:p>
    <w:p>
      <w:pPr>
        <w:pStyle w:val="Compact"/>
        <w:widowControl/>
        <w:numPr>
          <w:ilvl w:val="0"/>
          <w:numId w:val="1006"/>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steps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held-episode steps as negatives; C uses a within-three-target-calls window against held episodes. Both drop steps using hindsight, so neither is a prospective alarm label; their results are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3" w:name="_16e1c949c1569f7f4050c474671b93e6b4d1bae"/>
      <w:r>
        <w:rPr>
          <w:rFonts w:ascii="Old Standard TT" w:hAnsi="Old Standard TT"/>
          <w:b/>
          <w:sz w:val="26"/>
        </w:rPr>
        <w:t xml:space="preserve">E. Detectors and Evaluation</w:t>
      </w:r>
      <w:bookmarkEnd w:id="143"/>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step scored 0.8 and two held steps scored 0.5 and 0.9: the give-in outranks one of the two held steps, so the group AUROC is 0.5. A second group with a give-in at 0.7 and a held step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held steps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7"/>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steps.</w:t>
      </w:r>
    </w:p>
    <w:p>
      <w:pPr>
        <w:pStyle w:val="Compact"/>
        <w:widowControl/>
        <w:numPr>
          <w:ilvl w:val="0"/>
          <w:numId w:val="1007"/>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held,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7"/>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step weights so positives and negatives contribute equally within each round, on the 5,120-dimensional residual stream at the last prompt token before each target reply.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steps,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step.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widened from the next action to any later point in the episode. The full set of 3 models × 2 questions × 3 access levels = 18 setups ran on the first data batch (75,312 calls,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4"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steps. Values are within-scenario-and-round AUROC with 95% family-bootstrap intervals. The eventual label asks whether the episode ever ends in a give-in; the near-term label asks whether the first forbidden action occurs in the current or next round.</w:t>
      </w:r>
      <w:bookmarkEnd w:id="144"/>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steps; the ranking columns use its 2,910 recruiting steps.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steps and scored on its test steps, so it never sees the steps it is scored on. Its probe input is the out-of-fold probe score (the source of the slight bias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7); features are standardised with training-step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steps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steps;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steps with the layer chosen on a 25% family holdout (layers 28, 60 and 16). Each seed’s scores are z-scored over the 1,787 new steps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Steps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held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held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46" name="Picture"/>
            <a:graphic>
              <a:graphicData uri="http://schemas.openxmlformats.org/drawingml/2006/picture">
                <pic:pic>
                  <pic:nvPicPr>
                    <pic:cNvPr descr="figures/figure_monitor_design.png" id="147" name="Picture"/>
                    <pic:cNvPicPr>
                      <a:picLocks noChangeArrowheads="1" noChangeAspect="1"/>
                    </pic:cNvPicPr>
                  </pic:nvPicPr>
                  <pic:blipFill>
                    <a:blip r:embed="rId145"/>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48"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48"/>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(for example +0.123 for adding the conversation to the Jev forecaster) are computed on the 2,910 first-batch recruiting steps,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The six-row combination table is</w:t>
      </w:r>
      <w:r>
        <w:rPr>
          <w:rFonts w:ascii="XCharter" w:hAnsi="XCharter" w:cs="XCharter" w:eastAsia="XCharter"/>
          <w:sz w:val="22"/>
        </w:rPr>
        <w:t xml:space="preserve">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 </w:t>
      </w:r>
      <w:r>
        <w:rPr>
          <w:rFonts w:ascii="XCharter" w:hAnsi="XCharter" w:cs="XCharter" w:eastAsia="XCharter"/>
          <w:sz w:val="22"/>
        </w:rPr>
        <w:t xml:space="preserve">in</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Probe–monitor step-score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49" w:name="_e774c98102b53efba7d6294684718b8ff2eaeba"/>
      <w:r>
        <w:rPr>
          <w:rFonts w:ascii="Old Standard TT" w:hAnsi="Old Standard TT"/>
          <w:b/>
          <w:sz w:val="26"/>
        </w:rPr>
        <w:t xml:space="preserve">F. Second Target: gpt-oss-20b (and Gemma-4-31B)</w:t>
      </w:r>
      <w:bookmarkEnd w:id="149"/>
    </w:p>
    <w:p>
      <w:pPr>
        <w:pStyle w:val="FirstParagraph"/>
        <w:widowControl/>
        <w:spacing w:after="0" w:line="259" w:lineRule="auto"/>
        <w:ind w:firstLine="0"/>
        <w:jc w:val="both"/>
      </w:pPr>
      <w:r>
        <w:rPr>
          <w:rFonts w:ascii="XCharter" w:hAnsi="XCharter" w:cs="XCharter" w:eastAsia="XCharter"/>
          <w:i/>
          <w:iCs/>
          <w:sz w:val="22"/>
        </w:rPr>
        <w:t xml:space="preserve">Does the setup, and the detection result,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labels and the within scenario × round metric; the detector recipes; and the matched controls. Changed for gpt-oss: the peer model (DeepSeek-V4-Flash for the main target, V4-Pro for the second), its system prompt and strategy, and the amount of exploratory prompt development. The scored window is narrower: steps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steps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step between the read and the leak, some episodes give in and some hold, and the matched controls never leak. The peer strategy was chosen on behaviour alone and frozen before any probe or monitor saw the data.</w:t>
      </w:r>
    </w:p>
    <w:p>
      <w:pPr>
        <w:pStyle w:val="FirstParagraph"/>
        <w:widowControl/>
        <w:numPr>
          <w:ilvl w:val="0"/>
          <w:numId w:val="1008"/>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8"/>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The scored give-in is the complete value posted to the channel.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8"/>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8"/>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steps (1 from a channel-positive episode, 53 from channel-negative episodes); reasoning mentions are reported as a descriptive column instead. Because the format keeps the current turn’s reasoning, a probe step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Steps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step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(2,059 post-ask recruiting steps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steps)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0"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0"/>
    </w:p>
    <w:p>
      <w:pPr>
        <w:pStyle w:val="FirstParagraph"/>
        <w:widowControl/>
        <w:numPr>
          <w:ilvl w:val="0"/>
          <w:numId w:val="1008"/>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held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1" w:name="_190f1226d051d30d3bf4384ba25f172a7a45b0c"/>
      <w:r>
        <w:rPr>
          <w:rFonts w:ascii="Old Standard TT" w:hAnsi="Old Standard TT"/>
          <w:b/>
          <w:sz w:val="26"/>
        </w:rPr>
        <w:t xml:space="preserve">G. Behaviour Screening</w:t>
      </w:r>
      <w:bookmarkEnd w:id="151"/>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 The table 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held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09"/>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09"/>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09"/>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09"/>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09"/>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09"/>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2"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3" w:name="_7fccf12973301cf728201a32934c6648ff11624"/>
      <w:r>
        <w:rPr>
          <w:rFonts w:ascii="Old Standard TT" w:hAnsi="Old Standard TT"/>
          <w:b/>
          <w:sz w:val="26"/>
        </w:rPr>
        <w:t xml:space="preserve">H. Robustness and Diagnostics for the Main Results</w:t>
      </w:r>
      <w:bookmarkEnd w:id="153"/>
    </w:p>
    <w:p>
      <w:pPr>
        <w:pStyle w:val="FirstParagraph"/>
        <w:widowControl/>
        <w:spacing w:after="0" w:line="259" w:lineRule="auto"/>
        <w:ind w:firstLine="0"/>
        <w:jc w:val="both"/>
      </w:pPr>
      <w:r>
        <w:rPr>
          <w:rFonts w:ascii="XCharter" w:hAnsi="XCharter" w:cs="XCharter" w:eastAsia="XCharter"/>
          <w:i/>
          <w:iCs/>
          <w:sz w:val="22"/>
        </w:rPr>
        <w:t xml:space="preserve">Do the headline numbers survive other labels, layers, splits and checks, and what do the detectors miss?</w:t>
      </w:r>
    </w:p>
    <w:p>
      <w:pPr>
        <w:pStyle w:val="Compact"/>
        <w:widowControl/>
        <w:numPr>
          <w:ilvl w:val="0"/>
          <w:numId w:val="1010"/>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and an MLP; the per-layer curve is below.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4"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steps scored by the same fitted fold model.</w:t>
      </w:r>
      <w:bookmarkEnd w:id="154"/>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55"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5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56"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56"/>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58" name="Picture"/>
            <a:graphic>
              <a:graphicData uri="http://schemas.openxmlformats.org/drawingml/2006/picture">
                <pic:pic>
                  <pic:nvPicPr>
                    <pic:cNvPr descr="figures/appendix_h_layers.png" id="159" name="Picture"/>
                    <pic:cNvPicPr>
                      <a:picLocks noChangeArrowheads="1" noChangeAspect="1"/>
                    </pic:cNvPicPr>
                  </pic:nvPicPr>
                  <pic:blipFill>
                    <a:blip r:embed="rId157"/>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0"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0"/>
    </w:p>
    <w:p>
      <w:pPr>
        <w:pStyle w:val="Compact"/>
        <w:widowControl/>
        <w:numPr>
          <w:ilvl w:val="0"/>
          <w:numId w:val="1011"/>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step: the probe scores 0.523 [0.486, 0.560] held-out and 0.488 [0.438, 0.537] pooled (both intervals contain chance), a fixed-layer-32 probe 0.512 [0.453, 0.567], and the best monitor (Jev forecaster) 0.577 [0.521, 0.628]; on the same steps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held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2448d67834c5cf734896f5e0979aab1d1aa294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The pressure probe uses the main logistic recipe (C = 0.1, training-step standardisation, round-balanced weights) on layer 32 with no layer selection. It is trained to separate recruiting steps (label 1) from control and target-alone steps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steps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steps; gave-in versus held 0.430 [0.373, 0.492] pooled and 0.426 [0.371, 0.488] held-out on the eventual label, and 0.436 [0.368, 0.510] pooled and 0.437 [0.371, 0.510] held-out on the near-term label (2,910 recruiting steps,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step-score correlations (within scenario × round Spearman 0.23 with the Jev forecaster, 0.09 with the GPT-5-nano detector), and alarm recall on the near-term label. With a cutoff set on held recruiting episodes for a nominal 5% per-episode false-alarm rate (strict threshold), the Jev forecaster catches 10 of 101 give-ins (9.9%) with 6 of 140 held episodes alarming (4.3%); the probe 8 of 101 (7.9%) and 8 of 140 (5.7%); GPT-5-nano 0 of 101 and 0 of 140. Probe scores are pooled-CV out-of-fold scores, z-scored within each fold model and averaged over seeds. For each seed-42 fold, the cutoff is the value that at most 5% of held episodes from the other folds (families of the evaluated fold excluded) exceed with their maximum score, and only a score strictly above it alarms. A give-in counts as caught if an alarm fires on one of its near-term-positive steps, and a held episode counts as a false alarm if any of its eligible steps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step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1" w:name="_889344895f04d1f9f75d0ebcc55c0e9d025ecfb"/>
      <w:r>
        <w:rPr>
          <w:rFonts w:ascii="Old Standard TT" w:hAnsi="Old Standard TT"/>
          <w:b/>
          <w:sz w:val="26"/>
        </w:rPr>
        <w:t xml:space="preserve">I. Prompts</w:t>
      </w:r>
      <w:bookmarkEnd w:id="161"/>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2" w:name="_33bf1cd3074762475a7470d90c6bbd938fdac44"/>
      <w:r>
        <w:rPr>
          <w:rFonts w:ascii="Old Standard TT" w:hAnsi="Old Standard TT"/>
          <w:b/>
          <w:sz w:val="26"/>
        </w:rPr>
        <w:t xml:space="preserve">I.1 Target agent (Qwen3-32B and gpt-oss-20b)</w:t>
      </w:r>
      <w:bookmarkEnd w:id="162"/>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3" w:name="_d7ac7fb6a629ef29d896d387aeb1cbdff09ae31"/>
      <w:r>
        <w:rPr>
          <w:rFonts w:ascii="Old Standard TT" w:hAnsi="Old Standard TT"/>
          <w:b/>
          <w:sz w:val="26"/>
        </w:rPr>
        <w:t xml:space="preserve">I.2 Peer agent, Qwen3-32B episodes (DeepSeek-V4-Flash)</w:t>
      </w:r>
      <w:bookmarkEnd w:id="163"/>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4" w:name="_20ca0bd4e22b8907b745ffe52788f85136b39d1"/>
      <w:r>
        <w:rPr>
          <w:rFonts w:ascii="Old Standard TT" w:hAnsi="Old Standard TT"/>
          <w:b/>
          <w:sz w:val="26"/>
        </w:rPr>
        <w:t xml:space="preserve">I.3 Peer agent, gpt-oss-20b episodes (DeepSeek-V4-Pro)</w:t>
      </w:r>
      <w:bookmarkEnd w:id="164"/>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65" w:name="_f002de876b18b98d7718a6bd3deb30b9403007e"/>
      <w:r>
        <w:rPr>
          <w:rFonts w:ascii="Old Standard TT" w:hAnsi="Old Standard TT"/>
          <w:b/>
          <w:sz w:val="26"/>
        </w:rPr>
        <w:t xml:space="preserve">I.4 Text monitors</w:t>
      </w:r>
      <w:bookmarkEnd w:id="165"/>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step:</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19"/>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19"/>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step,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19"/>
        </w:numPr>
        <w:spacing w:line="259" w:lineRule="auto" w:after="60"/>
        <w:jc w:val="left"/>
      </w:pPr>
      <w:r>
        <w:rPr>
          <w:rFonts w:ascii="XCharter" w:hAnsi="XCharter" w:cs="XCharter" w:eastAsia="XCharter"/>
          <w:b/>
          <w:bCs/>
          <w:sz w:val="22"/>
        </w:rPr>
        <w:t xml:space="preserve">Signs:</w:t>
      </w:r>
    </w:p>
    <w:p>
      <w:pPr>
        <w:pStyle w:val="Compact"/>
        <w:widowControl/>
        <w:numPr>
          <w:ilvl w:val="1"/>
          <w:numId w:val="1020"/>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0"/>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0"/>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0"/>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19"/>
        </w:numPr>
        <w:spacing w:line="259" w:lineRule="auto" w:after="60"/>
        <w:jc w:val="left"/>
      </w:pPr>
      <w:r>
        <w:rPr>
          <w:rFonts w:ascii="XCharter" w:hAnsi="XCharter" w:cs="XCharter" w:eastAsia="XCharter"/>
          <w:b/>
          <w:bCs/>
          <w:sz w:val="22"/>
        </w:rPr>
        <w:t xml:space="preserve">Questions:</w:t>
      </w:r>
    </w:p>
    <w:p>
      <w:pPr>
        <w:pStyle w:val="Compact"/>
        <w:widowControl/>
        <w:numPr>
          <w:ilvl w:val="1"/>
          <w:numId w:val="1021"/>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1"/>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1"/>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19"/>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3"/>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3"/>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3"/>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3"/>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4"/>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4"/>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4"/>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5"/>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5"/>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4"/>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4"/>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step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7"/>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7"/>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7"/>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6" w:name="_9c1464226db10cf5b2f811ceea16efe8dd113a9"/>
      <w:r>
        <w:rPr>
          <w:rFonts w:ascii="Old Standard TT" w:hAnsi="Old Standard TT"/>
          <w:b/>
          <w:sz w:val="26"/>
        </w:rPr>
        <w:t xml:space="preserve">J. A Scaled Follow-Up Study: Design and Decision Criteria</w:t>
      </w:r>
      <w:bookmarkEnd w:id="166"/>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54eb2f5f95f37f7697f90e34f74f02749f09399">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finding that the conversation matters more than activations. On gpt-oss-20b, any tuned detector clearly above chance would weaken our reading of that model as a limit on when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step to score, and for 65 of the other 96 the earliest possible warning was in the same round (App. F). We would vary pressure so that targets deliberate over several rounds: requests that escalate in steps,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becomes predictable once it has a longer window, the limit lies in the setting, not the model. If it stays at chance, the difference lies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near-term predictability that holds across models and multi-agent settings would support a general claim; if it holds only for Qwen3-32B, our main result is specific to that model.</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today every detector catches at most a tenth of give-ins at a 5% false-alarm rate set on held episodes (App. H).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BodyText"/>
        <w:widowControl/>
        <w:spacing w:after="0" w:line="259" w:lineRule="auto"/>
        <w:ind w:firstLine="360"/>
        <w:jc w:val="both"/>
      </w:pPr>
      <w:r>
        <w:rPr>
          <w:rFonts w:ascii="XCharter" w:hAnsi="XCharter" w:cs="XCharter" w:eastAsia="XCharter"/>
          <w:b/>
          <w:bCs/>
          <w:sz w:val="22"/>
        </w:rPr>
        <w:t xml:space="preserve">J.8 Streaming, token-level monitoring.</w:t>
      </w:r>
      <w:r>
        <w:rPr>
          <w:rFonts w:ascii="XCharter" w:hAnsi="XCharter" w:cs="XCharter" w:eastAsia="XCharter"/>
          <w:sz w:val="22"/>
        </w:rPr>
        <w:t xml:space="preserve"> </w:t>
      </w:r>
      <w:r>
        <w:rPr>
          <w:rFonts w:ascii="XCharter" w:hAnsi="XCharter" w:cs="XCharter" w:eastAsia="XCharter"/>
          <w:sz w:val="22"/>
        </w:rPr>
        <w:t xml:space="preserve">Our probe reads one position per request, the last prompt token. A probe scored at every generated token, including reasoning, could warn within the reply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reply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full version would score everything the target processes: the incoming peer messages and tool results, its reasoning, and its output up to the action, so that suspicion can rise as the pressure arrives, not only once the reply starts.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The gpt-oss replay already saved reasoning-token activations, so a first test on the saved positions (the last prompt token and the reasoning tokens) is cheap.</w:t>
      </w:r>
      <w:r>
        <w:rPr>
          <w:rFonts w:ascii="XCharter" w:hAnsi="XCharter" w:cs="XCharter" w:eastAsia="XCharter"/>
          <w:sz w:val="22"/>
        </w:rPr>
        <w:t xml:space="preserve"> </w:t>
      </w:r>
      <w:r>
        <w:rPr>
          <w:rFonts w:ascii="XCharter" w:hAnsi="XCharter" w:cs="XCharter" w:eastAsia="XCharter"/>
          <w:i/>
          <w:iCs/>
          <w:sz w:val="22"/>
        </w:rPr>
        <w:t xml:space="preserve">Limitation:</w:t>
      </w:r>
      <w:r>
        <w:rPr>
          <w:rFonts w:ascii="XCharter" w:hAnsi="XCharter" w:cs="XCharter" w:eastAsia="XCharter"/>
          <w:sz w:val="22"/>
        </w:rPr>
        <w:t xml:space="preserve"> </w:t>
      </w:r>
      <w:r>
        <w:rPr>
          <w:rFonts w:ascii="XCharter" w:hAnsi="XCharter" w:cs="XCharter" w:eastAsia="XCharter"/>
          <w:sz w:val="22"/>
        </w:rPr>
        <w:t xml:space="preserve">our leak is an exact, verifiable string, so there is a clear last moment to block, just before the value’s first character. Semantic or long-horizon collusion, such as a paraphrased disclosure or a plan coordinated over many steps, has no such cut point, and its labels would need judges; it is the harder setting such a method must eventually handle.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streaming probe that warns before the value’s first character, and beats a keyword baseline on the same tokens, would show that a signal our one-position probe misses forms within the reply.</w:t>
      </w:r>
    </w:p>
    <w:p>
      <w:pPr>
        <w:pStyle w:val="Heading3"/>
        <w:keepNext/>
        <w:spacing w:before="200" w:lineRule="auto"/>
        <w:rPr>
          <w:rFonts w:ascii="Old Standard TT" w:cs="Old Standard TT" w:eastAsia="Old Standard TT" w:hAnsi="Old Standard TT"/>
          <w:b w:val="1"/>
          <w:bCs w:val="1"/>
          <w:color w:val="000000"/>
          <w:sz w:val="26"/>
          <w:szCs w:val="26"/>
        </w:rPr>
      </w:pPr>
      <w:bookmarkStart w:id="167" w:name="_527a2614b0d9aee1dd56ba38d518b45bdf577b0"/>
      <w:r>
        <w:rPr>
          <w:rFonts w:ascii="Old Standard TT" w:hAnsi="Old Standard TT"/>
          <w:b/>
          <w:sz w:val="26"/>
        </w:rPr>
        <w:t xml:space="preserve">K. Related Work in Full</w:t>
      </w:r>
      <w:bookmarkEnd w:id="167"/>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four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jailbreak success and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steps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step by step,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model-specific signal we find.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steps.</w:t>
      </w:r>
    </w:p>
    <w:p>
      <w:pPr>
        <w:pStyle w:val="Heading2"/>
        <w:keepNext/>
        <w:spacing w:after="0" w:before="200" w:line="360" w:lineRule="auto"/>
        <w:rPr>
          <w:rFonts w:ascii="Old Standard TT" w:cs="Old Standard TT" w:eastAsia="Old Standard TT" w:hAnsi="Old Standard TT"/>
          <w:b w:val="1"/>
          <w:bCs w:val="1"/>
          <w:sz w:val="28"/>
          <w:szCs w:val="28"/>
        </w:rPr>
      </w:pPr>
      <w:bookmarkStart w:id="168" w:name="_cb9581af10cbdf668d14e9255457c76a376db3f"/>
      <w:r>
        <w:rPr>
          <w:rFonts w:ascii="Old Standard TT" w:hAnsi="Old Standard TT"/>
          <w:b/>
          <w:sz w:val="28"/>
        </w:rPr>
        <w:t xml:space="preserve">LLM Usage Statement</w:t>
      </w:r>
      <w:bookmarkEnd w:id="168"/>
    </w:p>
    <w:p>
      <w:pPr>
        <w:pStyle w:val="FirstParagraph"/>
        <w:widowControl/>
        <w:spacing w:after="0" w:line="259" w:lineRule="auto"/>
        <w:ind w:firstLine="0"/>
        <w:jc w:val="left"/>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 Aboard (github.com/leonidas1712/aboard), a shared message board on which the author assigned, reviewed and tracked work across agent sessions, and Leaf (github.com/leonidas1712/leaf),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8" Type="http://schemas.openxmlformats.org/officeDocument/2006/relationships/image" Target="media/rId18.png"/><Relationship Id="rId26" Type="http://schemas.openxmlformats.org/officeDocument/2006/relationships/image" Target="media/rId26.png"/><Relationship Id="rId145" Type="http://schemas.openxmlformats.org/officeDocument/2006/relationships/image" Target="media/rId145.png"/><Relationship Id="rId136" Type="http://schemas.openxmlformats.org/officeDocument/2006/relationships/image" Target="media/rId136.png"/><Relationship Id="rId66" Type="http://schemas.openxmlformats.org/officeDocument/2006/relationships/hyperlink" Target="https://arxiv.org/abs/2404.00806" TargetMode="External"/><Relationship Id="rId58" Type="http://schemas.openxmlformats.org/officeDocument/2006/relationships/hyperlink" Target="https://arxiv.org/abs/2406.13352" TargetMode="External"/><Relationship Id="rId84" Type="http://schemas.openxmlformats.org/officeDocument/2006/relationships/hyperlink" Target="https://arxiv.org/abs/2410.00031" TargetMode="External"/><Relationship Id="rId78" Type="http://schemas.openxmlformats.org/officeDocument/2006/relationships/hyperlink" Target="https://arxiv.org/abs/2411.03343" TargetMode="External"/><Relationship Id="rId114" Type="http://schemas.openxmlformats.org/officeDocument/2006/relationships/hyperlink" Target="https://arxiv.org/abs/2501.18837" TargetMode="External"/><Relationship Id="rId72" Type="http://schemas.openxmlformats.org/officeDocument/2006/relationships/hyperlink" Target="https://arxiv.org/abs/2502.03407" TargetMode="External"/><Relationship Id="rId50" Type="http://schemas.openxmlformats.org/officeDocument/2006/relationships/hyperlink" Target="https://arxiv.org/abs/2502.13329" TargetMode="External"/><Relationship Id="rId126" Type="http://schemas.openxmlformats.org/officeDocument/2006/relationships/hyperlink" Target="https://arxiv.org/abs/2505.09388" TargetMode="External"/><Relationship Id="rId44" Type="http://schemas.openxmlformats.org/officeDocument/2006/relationships/hyperlink" Target="https://arxiv.org/abs/2507.01413" TargetMode="External"/><Relationship Id="rId94" Type="http://schemas.openxmlformats.org/officeDocument/2006/relationships/hyperlink" Target="https://arxiv.org/abs/2508.10925" TargetMode="External"/><Relationship Id="rId52" Type="http://schemas.openxmlformats.org/officeDocument/2006/relationships/hyperlink" Target="https://arxiv.org/abs/2512.03097" TargetMode="External"/><Relationship Id="rId56" Type="http://schemas.openxmlformats.org/officeDocument/2006/relationships/hyperlink" Target="https://arxiv.org/abs/2601.04603" TargetMode="External"/><Relationship Id="rId82" Type="http://schemas.openxmlformats.org/officeDocument/2006/relationships/hyperlink" Target="https://arxiv.org/abs/2601.11516" TargetMode="External"/><Relationship Id="rId48" Type="http://schemas.openxmlformats.org/officeDocument/2006/relationships/hyperlink" Target="https://arxiv.org/abs/2601.21112" TargetMode="External"/><Relationship Id="rId90" Type="http://schemas.openxmlformats.org/officeDocument/2006/relationships/hyperlink" Target="https://arxiv.org/abs/2602.15198" TargetMode="External"/><Relationship Id="rId122" Type="http://schemas.openxmlformats.org/officeDocument/2006/relationships/hyperlink" Target="https://arxiv.org/abs/2603.13940" TargetMode="External"/><Relationship Id="rId108" Type="http://schemas.openxmlformats.org/officeDocument/2006/relationships/hyperlink" Target="https://arxiv.org/abs/2604.01151" TargetMode="External"/><Relationship Id="rId124" Type="http://schemas.openxmlformats.org/officeDocument/2006/relationships/hyperlink" Target="https://arxiv.org/abs/2604.16824" TargetMode="External"/><Relationship Id="rId130" Type="http://schemas.openxmlformats.org/officeDocument/2006/relationships/hyperlink" Target="https://arxiv.org/abs/2605.27593" TargetMode="External"/><Relationship Id="rId106" Type="http://schemas.openxmlformats.org/officeDocument/2006/relationships/hyperlink" Target="https://arxiv.org/abs/2605.29178" TargetMode="External"/><Relationship Id="rId80" Type="http://schemas.openxmlformats.org/officeDocument/2006/relationships/hyperlink" Target="https://arxiv.org/abs/2606.11172" TargetMode="External"/><Relationship Id="rId68" Type="http://schemas.openxmlformats.org/officeDocument/2006/relationships/hyperlink" Target="https://arxiv.org/abs/2606.30449" TargetMode="External"/><Relationship Id="rId116" Type="http://schemas.openxmlformats.org/officeDocument/2006/relationships/hyperlink" Target="https://arxiv.org/abs/2607.05132" TargetMode="External"/><Relationship Id="rId110" Type="http://schemas.openxmlformats.org/officeDocument/2006/relationships/hyperlink" Target="https://arxiv.org/abs/2607.06503" TargetMode="External"/><Relationship Id="rId62" Type="http://schemas.openxmlformats.org/officeDocument/2006/relationships/hyperlink" Target="https://arxiv.org/abs/2608.02657" TargetMode="External"/><Relationship Id="rId120" Type="http://schemas.openxmlformats.org/officeDocument/2006/relationships/hyperlink" Target="https://arxiv.org/abs/2609.09090" TargetMode="External"/><Relationship Id="rId118" Type="http://schemas.openxmlformats.org/officeDocument/2006/relationships/hyperlink" Target="https://arxiv.org/abs/2609.24967" TargetMode="External"/><Relationship Id="rId102" Type="http://schemas.openxmlformats.org/officeDocument/2006/relationships/hyperlink" Target="https://arxiv.org/abs/2609.35576" TargetMode="External"/><Relationship Id="rId70" Type="http://schemas.openxmlformats.org/officeDocument/2006/relationships/hyperlink" Target="https://arxiv.org/abs/2610.04575" TargetMode="External"/><Relationship Id="rId128" Type="http://schemas.openxmlformats.org/officeDocument/2006/relationships/hyperlink" Target="https://arxiv.org/abs/2610.05295" TargetMode="External"/><Relationship Id="rId64" Type="http://schemas.openxmlformats.org/officeDocument/2006/relationships/hyperlink" Target="https://arxiv.org/abs/2610.17301" TargetMode="External"/><Relationship Id="rId54" Type="http://schemas.openxmlformats.org/officeDocument/2006/relationships/hyperlink" Target="https://doi.org/10.1145/3786335.3813181" TargetMode="External"/><Relationship Id="rId76" Type="http://schemas.openxmlformats.org/officeDocument/2006/relationships/hyperlink" Target="https://github.com/UKGovernmentBEIS/control-arena" TargetMode="External"/><Relationship Id="rId112" Type="http://schemas.openxmlformats.org/officeDocument/2006/relationships/hyperlink" Target="https://github.com/soham-padia/pre-sycophancy-study" TargetMode="External"/><Relationship Id="rId104" Type="http://schemas.openxmlformats.org/officeDocument/2006/relationships/hyperlink" Target="https://huggingface.co/Qwen/Qwen3-32B" TargetMode="External"/><Relationship Id="rId96" Type="http://schemas.openxmlformats.org/officeDocument/2006/relationships/hyperlink" Target="https://huggingface.co/openai/gpt-oss-20b" TargetMode="External"/><Relationship Id="rId100" Type="http://schemas.openxmlformats.org/officeDocument/2006/relationships/hyperlink" Target="https://openai.com/index/hugging-face-incident-and-the-road-ahead/" TargetMode="External"/><Relationship Id="rId60" Type="http://schemas.openxmlformats.org/officeDocument/2006/relationships/hyperlink" Target="https://openrouter.ai/deepseek/deepseek-v4-flash" TargetMode="External"/><Relationship Id="rId98" Type="http://schemas.openxmlformats.org/officeDocument/2006/relationships/hyperlink" Target="https://openrouter.ai/openai/gpt-6-luna-decisions" TargetMode="External"/><Relationship Id="rId92" Type="http://schemas.openxmlformats.org/officeDocument/2006/relationships/hyperlink" Target="https://platform.openai.com/docs/models/gpt-5-nano" TargetMode="External"/><Relationship Id="rId46" Type="http://schemas.openxmlformats.org/officeDocument/2006/relationships/hyperlink" Target="https://typesafe.ai/blog/introducing-system-one-models-and-jev" TargetMode="External"/><Relationship Id="rId42" Type="http://schemas.openxmlformats.org/officeDocument/2006/relationships/hyperlink" Target="https://www.alphaxiv.org/abs/2610.frozen-states-future-action-prediction" TargetMode="External"/><Relationship Id="rId88" Type="http://schemas.openxmlformats.org/officeDocument/2006/relationships/hyperlink" Target="https://www.anthropic.com/news/probes-catch-sleeper-agents" TargetMode="External"/><Relationship Id="rId74" Type="http://schemas.openxmlformats.org/officeDocument/2006/relationships/hyperlink" Target="https://www.redwoodresearch.org/research/hugging-face-incident" TargetMode="External"/><Relationship Id="rId86"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6" Type="http://schemas.openxmlformats.org/officeDocument/2006/relationships/hyperlink" Target="https://arxiv.org/abs/2404.00806" TargetMode="External"/><Relationship Id="rId58" Type="http://schemas.openxmlformats.org/officeDocument/2006/relationships/hyperlink" Target="https://arxiv.org/abs/2406.13352" TargetMode="External"/><Relationship Id="rId84" Type="http://schemas.openxmlformats.org/officeDocument/2006/relationships/hyperlink" Target="https://arxiv.org/abs/2410.00031" TargetMode="External"/><Relationship Id="rId78" Type="http://schemas.openxmlformats.org/officeDocument/2006/relationships/hyperlink" Target="https://arxiv.org/abs/2411.03343" TargetMode="External"/><Relationship Id="rId114" Type="http://schemas.openxmlformats.org/officeDocument/2006/relationships/hyperlink" Target="https://arxiv.org/abs/2501.18837" TargetMode="External"/><Relationship Id="rId72" Type="http://schemas.openxmlformats.org/officeDocument/2006/relationships/hyperlink" Target="https://arxiv.org/abs/2502.03407" TargetMode="External"/><Relationship Id="rId50" Type="http://schemas.openxmlformats.org/officeDocument/2006/relationships/hyperlink" Target="https://arxiv.org/abs/2502.13329" TargetMode="External"/><Relationship Id="rId126" Type="http://schemas.openxmlformats.org/officeDocument/2006/relationships/hyperlink" Target="https://arxiv.org/abs/2505.09388" TargetMode="External"/><Relationship Id="rId44" Type="http://schemas.openxmlformats.org/officeDocument/2006/relationships/hyperlink" Target="https://arxiv.org/abs/2507.01413" TargetMode="External"/><Relationship Id="rId94" Type="http://schemas.openxmlformats.org/officeDocument/2006/relationships/hyperlink" Target="https://arxiv.org/abs/2508.10925" TargetMode="External"/><Relationship Id="rId52" Type="http://schemas.openxmlformats.org/officeDocument/2006/relationships/hyperlink" Target="https://arxiv.org/abs/2512.03097" TargetMode="External"/><Relationship Id="rId56" Type="http://schemas.openxmlformats.org/officeDocument/2006/relationships/hyperlink" Target="https://arxiv.org/abs/2601.04603" TargetMode="External"/><Relationship Id="rId82" Type="http://schemas.openxmlformats.org/officeDocument/2006/relationships/hyperlink" Target="https://arxiv.org/abs/2601.11516" TargetMode="External"/><Relationship Id="rId48" Type="http://schemas.openxmlformats.org/officeDocument/2006/relationships/hyperlink" Target="https://arxiv.org/abs/2601.21112" TargetMode="External"/><Relationship Id="rId90" Type="http://schemas.openxmlformats.org/officeDocument/2006/relationships/hyperlink" Target="https://arxiv.org/abs/2602.15198" TargetMode="External"/><Relationship Id="rId122" Type="http://schemas.openxmlformats.org/officeDocument/2006/relationships/hyperlink" Target="https://arxiv.org/abs/2603.13940" TargetMode="External"/><Relationship Id="rId108" Type="http://schemas.openxmlformats.org/officeDocument/2006/relationships/hyperlink" Target="https://arxiv.org/abs/2604.01151" TargetMode="External"/><Relationship Id="rId124" Type="http://schemas.openxmlformats.org/officeDocument/2006/relationships/hyperlink" Target="https://arxiv.org/abs/2604.16824" TargetMode="External"/><Relationship Id="rId130" Type="http://schemas.openxmlformats.org/officeDocument/2006/relationships/hyperlink" Target="https://arxiv.org/abs/2605.27593" TargetMode="External"/><Relationship Id="rId106" Type="http://schemas.openxmlformats.org/officeDocument/2006/relationships/hyperlink" Target="https://arxiv.org/abs/2605.29178" TargetMode="External"/><Relationship Id="rId80" Type="http://schemas.openxmlformats.org/officeDocument/2006/relationships/hyperlink" Target="https://arxiv.org/abs/2606.11172" TargetMode="External"/><Relationship Id="rId68" Type="http://schemas.openxmlformats.org/officeDocument/2006/relationships/hyperlink" Target="https://arxiv.org/abs/2606.30449" TargetMode="External"/><Relationship Id="rId116" Type="http://schemas.openxmlformats.org/officeDocument/2006/relationships/hyperlink" Target="https://arxiv.org/abs/2607.05132" TargetMode="External"/><Relationship Id="rId110" Type="http://schemas.openxmlformats.org/officeDocument/2006/relationships/hyperlink" Target="https://arxiv.org/abs/2607.06503" TargetMode="External"/><Relationship Id="rId62" Type="http://schemas.openxmlformats.org/officeDocument/2006/relationships/hyperlink" Target="https://arxiv.org/abs/2608.02657" TargetMode="External"/><Relationship Id="rId120" Type="http://schemas.openxmlformats.org/officeDocument/2006/relationships/hyperlink" Target="https://arxiv.org/abs/2609.09090" TargetMode="External"/><Relationship Id="rId118" Type="http://schemas.openxmlformats.org/officeDocument/2006/relationships/hyperlink" Target="https://arxiv.org/abs/2609.24967" TargetMode="External"/><Relationship Id="rId102" Type="http://schemas.openxmlformats.org/officeDocument/2006/relationships/hyperlink" Target="https://arxiv.org/abs/2609.35576" TargetMode="External"/><Relationship Id="rId70" Type="http://schemas.openxmlformats.org/officeDocument/2006/relationships/hyperlink" Target="https://arxiv.org/abs/2610.04575" TargetMode="External"/><Relationship Id="rId128" Type="http://schemas.openxmlformats.org/officeDocument/2006/relationships/hyperlink" Target="https://arxiv.org/abs/2610.05295" TargetMode="External"/><Relationship Id="rId64" Type="http://schemas.openxmlformats.org/officeDocument/2006/relationships/hyperlink" Target="https://arxiv.org/abs/2610.17301" TargetMode="External"/><Relationship Id="rId54" Type="http://schemas.openxmlformats.org/officeDocument/2006/relationships/hyperlink" Target="https://doi.org/10.1145/3786335.3813181" TargetMode="External"/><Relationship Id="rId76" Type="http://schemas.openxmlformats.org/officeDocument/2006/relationships/hyperlink" Target="https://github.com/UKGovernmentBEIS/control-arena" TargetMode="External"/><Relationship Id="rId112" Type="http://schemas.openxmlformats.org/officeDocument/2006/relationships/hyperlink" Target="https://github.com/soham-padia/pre-sycophancy-study" TargetMode="External"/><Relationship Id="rId104" Type="http://schemas.openxmlformats.org/officeDocument/2006/relationships/hyperlink" Target="https://huggingface.co/Qwen/Qwen3-32B" TargetMode="External"/><Relationship Id="rId96" Type="http://schemas.openxmlformats.org/officeDocument/2006/relationships/hyperlink" Target="https://huggingface.co/openai/gpt-oss-20b" TargetMode="External"/><Relationship Id="rId100" Type="http://schemas.openxmlformats.org/officeDocument/2006/relationships/hyperlink" Target="https://openai.com/index/hugging-face-incident-and-the-road-ahead/" TargetMode="External"/><Relationship Id="rId60" Type="http://schemas.openxmlformats.org/officeDocument/2006/relationships/hyperlink" Target="https://openrouter.ai/deepseek/deepseek-v4-flash" TargetMode="External"/><Relationship Id="rId98" Type="http://schemas.openxmlformats.org/officeDocument/2006/relationships/hyperlink" Target="https://openrouter.ai/openai/gpt-6-luna-decisions" TargetMode="External"/><Relationship Id="rId92" Type="http://schemas.openxmlformats.org/officeDocument/2006/relationships/hyperlink" Target="https://platform.openai.com/docs/models/gpt-5-nano" TargetMode="External"/><Relationship Id="rId46" Type="http://schemas.openxmlformats.org/officeDocument/2006/relationships/hyperlink" Target="https://typesafe.ai/blog/introducing-system-one-models-and-jev" TargetMode="External"/><Relationship Id="rId42" Type="http://schemas.openxmlformats.org/officeDocument/2006/relationships/hyperlink" Target="https://www.alphaxiv.org/abs/2610.frozen-states-future-action-prediction" TargetMode="External"/><Relationship Id="rId88" Type="http://schemas.openxmlformats.org/officeDocument/2006/relationships/hyperlink" Target="https://www.anthropic.com/news/probes-catch-sleeper-agents" TargetMode="External"/><Relationship Id="rId74" Type="http://schemas.openxmlformats.org/officeDocument/2006/relationships/hyperlink" Target="https://www.redwoodresearch.org/research/hugging-face-incident" TargetMode="External"/><Relationship Id="rId86"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2026-10-25T23:20:55Z</dcterms:created>
  <dcterms:modified xsi:type="dcterms:W3CDTF">2026-10-25T23:20:55Z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