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highly accurate: AUROC 0.95 on held-out scenarios for Qwen3-32B and 0.91 for gpt-oss-20b, above a Jev decision-model monitor given the same conversation (0.74 and 0.27). On gpt-oss-20b, a probe on the streaming reasoning reaches 0.93 and holds at 0.91 on fresh episodes. Predictability forms a ladder: the nearer the act, the sharper the signal. For oversight, monitors need not just filter a harmful action once written: activation probes can flag the call about to give in before it acts, and, scaled to subtler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 decision-model monitor (Jev) given the same input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holds under keyword, placebo, censoring and workflow-position checks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every call we score is already exposed to the value and to the same pressure, and our target is never told to collude, so a probe must predict which call complies,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 an activation monitor with LLM outcome forecasts on AgentDojo. Streaming classifiers score a model’s output token by token and stop it at the first flag</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several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adds each episode’s first public-emission call (4,844 calls, 101 give-ins).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The rules differ because gpt-oss-20b almost always writes the value to a file before it posts it, and its analysis ends at that first public emission, so only 3 of its scored calls are first channel posts; Qwen3-32B uses the give-in rule.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is given the same conversation and tool results as the last-prompt probe and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targets in the same situation.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121 leaking),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refusing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training-side control calls, then measured on held-out calls, it catches 85% of leaking calls against 56% for the last-prompt probe, at 4% against 2% of calls in refusing episodes; Jev reading the same reasoning scores 0.60, and on Qwen3-32B a fixed keyword rule on the latest incoming message 0.64.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it caught 14 of the 26 at 2.4% of refusing calls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warning is about the call itself: one call earlier, the last-prompt probe scores 0.71 on Qwen3-32B and 0.62 on gpt-oss-20b. On gpt-oss-20b, retraining the round-level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i/>
          <w:iCs/>
          <w:sz w:val="22"/>
        </w:rPr>
        <w:t xml:space="preserve">Survives the pressure control:</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Survives the secret-string control:</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the read-step indicator alone:</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reaches 0.93 (one seed), so the signal may largely reflect what has just arrived; what it represents is not established. Per-call alarms are not cheap: at the 5% control-call cutoff, 41% of refusing gpt-oss-20b episodes see at least one reasoning-probe alarm, and 11% of refusing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matched rungs are post hoc and include the give-in calls, so the Qwen3-32B near-term rung (0.67) sits above the round-level 0.58 on pre-emission calls. Only the original round-level results below were fixed in advance and confirmed on new episodes: predictability and rigour run in opposite directions.</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separate probe that separates pressured from unpressured calls perfectly (AUROC 1.00) does not rank who gives in (0.44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the episodes collected before the new-episode set;</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 on the near-term label; asked to detect, 0.58. On the first data batch, showing the Jev forecaster the peer’s messages on top of the target’s actions raises its score by 0.12 [0.06, 0.18], while adding everything else the target saw adds only 0.03 [−0.00, 0.05]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 pooled and +0.11 on the new episodes, but +0.02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As alarms, the detectors are costly or weak:</w:t>
      </w:r>
      <w:r>
        <w:rPr>
          <w:rFonts w:ascii="XCharter" w:hAnsi="XCharter" w:cs="XCharter" w:eastAsia="XCharter"/>
          <w:sz w:val="22"/>
        </w:rPr>
        <w:t xml:space="preserve"> </w:t>
      </w:r>
      <w:r>
        <w:rPr>
          <w:rFonts w:ascii="XCharter" w:hAnsi="XCharter" w:cs="XCharter" w:eastAsia="XCharter"/>
          <w:sz w:val="22"/>
        </w:rPr>
        <w:t xml:space="preserve">per-call probes alarm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and at the round level, at a 5% false-alarm cutoff set on refusing episodes, the best catches 10 of 101 give-ins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and give it the other agent’s messages. Score per call, close to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The per-call last-prompt results are post hoc; only the gpt-oss-20b reasoning probe was confirmed, on 26 leaking calls. One peer and one target in six scenarios from one template, on two models; larger multi-agent settings are future work. The warning is about the current call, and what the probe reads is unknown.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larger multi-agent settings, with several peers, recruited agents that recruit others, and shared boards or memory,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and scenarios,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an LLM judge reading the same input, and a probe on the streaming reasoning held on new episodes. Further from the act the signal fades, to modest for this round or the next and barely for the eventual outcome. That is still before the value leaks and before the recruitment spreads to further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a planning commit with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6"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https://arxiv.org/abs/2411.03343</w:t>
        </w:r>
      </w:hyperlink>
      <w:bookmarkEnd w:id="81"/>
    </w:p>
    <w:p>
      <w:pPr>
        <w:pStyle w:val="Bibliography"/>
        <w:widowControl/>
        <w:spacing w:line="259" w:lineRule="auto" w:after="80"/>
        <w:ind w:left="360" w:hanging="360"/>
        <w:jc w:val="left"/>
      </w:pPr>
      <w:bookmarkStart w:id="83"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https://arxiv.org/abs/2606.11172</w:t>
        </w:r>
      </w:hyperlink>
      <w:bookmarkEnd w:id="83"/>
    </w:p>
    <w:p>
      <w:pPr>
        <w:pStyle w:val="Bibliography"/>
        <w:widowControl/>
        <w:spacing w:line="259" w:lineRule="auto" w:after="80"/>
        <w:ind w:left="360" w:hanging="360"/>
        <w:jc w:val="left"/>
      </w:pPr>
      <w:bookmarkStart w:id="85"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https://arxiv.org/abs/2601.11516</w:t>
        </w:r>
      </w:hyperlink>
      <w:bookmarkEnd w:id="85"/>
    </w:p>
    <w:p>
      <w:pPr>
        <w:pStyle w:val="Bibliography"/>
        <w:widowControl/>
        <w:spacing w:line="259" w:lineRule="auto" w:after="80"/>
        <w:ind w:left="360" w:hanging="360"/>
        <w:jc w:val="left"/>
      </w:pPr>
      <w:bookmarkStart w:id="87"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https://arxiv.org/abs/2410.00031</w:t>
        </w:r>
      </w:hyperlink>
      <w:bookmarkEnd w:id="87"/>
    </w:p>
    <w:p>
      <w:pPr>
        <w:pStyle w:val="Bibliography"/>
        <w:widowControl/>
        <w:spacing w:line="259" w:lineRule="auto" w:after="80"/>
        <w:ind w:left="360" w:hanging="360"/>
        <w:jc w:val="left"/>
      </w:pPr>
      <w:bookmarkStart w:id="89"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https://www.usenix.org/conference/usenixsecurity24/presentation/liu-yupei</w:t>
        </w:r>
      </w:hyperlink>
      <w:bookmarkEnd w:id="89"/>
    </w:p>
    <w:p>
      <w:pPr>
        <w:pStyle w:val="Bibliography"/>
        <w:widowControl/>
        <w:spacing w:line="259" w:lineRule="auto" w:after="80"/>
        <w:ind w:left="360" w:hanging="360"/>
        <w:jc w:val="left"/>
      </w:pPr>
      <w:bookmarkStart w:id="91"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https://www.anthropic.com/news/probes-catch-sleeper-agents</w:t>
        </w:r>
      </w:hyperlink>
      <w:bookmarkEnd w:id="91"/>
    </w:p>
    <w:p>
      <w:pPr>
        <w:pStyle w:val="Bibliography"/>
        <w:widowControl/>
        <w:spacing w:line="259" w:lineRule="auto" w:after="80"/>
        <w:ind w:left="360" w:hanging="360"/>
        <w:jc w:val="left"/>
      </w:pPr>
      <w:bookmarkStart w:id="93"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https://arxiv.org/abs/2506.10805</w:t>
        </w:r>
      </w:hyperlink>
      <w:bookmarkEnd w:id="93"/>
    </w:p>
    <w:p>
      <w:pPr>
        <w:pStyle w:val="Bibliography"/>
        <w:widowControl/>
        <w:spacing w:line="259" w:lineRule="auto" w:after="80"/>
        <w:ind w:left="360" w:hanging="360"/>
        <w:jc w:val="left"/>
      </w:pPr>
      <w:bookmarkStart w:id="95"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https://arxiv.org/abs/2602.15198</w:t>
        </w:r>
      </w:hyperlink>
      <w:bookmarkEnd w:id="95"/>
    </w:p>
    <w:p>
      <w:pPr>
        <w:pStyle w:val="Bibliography"/>
        <w:widowControl/>
        <w:spacing w:line="259" w:lineRule="auto" w:after="80"/>
        <w:ind w:left="360" w:hanging="360"/>
        <w:jc w:val="left"/>
      </w:pPr>
      <w:bookmarkStart w:id="97"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https://platform.openai.com/docs/models/gpt-5-nano</w:t>
        </w:r>
      </w:hyperlink>
      <w:bookmarkEnd w:id="97"/>
    </w:p>
    <w:p>
      <w:pPr>
        <w:pStyle w:val="Bibliography"/>
        <w:widowControl/>
        <w:spacing w:line="259" w:lineRule="auto" w:after="80"/>
        <w:ind w:left="360" w:hanging="360"/>
        <w:jc w:val="left"/>
      </w:pPr>
      <w:bookmarkStart w:id="99"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https://arxiv.org/abs/2508.10925</w:t>
        </w:r>
      </w:hyperlink>
      <w:bookmarkEnd w:id="99"/>
    </w:p>
    <w:p>
      <w:pPr>
        <w:pStyle w:val="Bibliography"/>
        <w:widowControl/>
        <w:spacing w:line="259" w:lineRule="auto" w:after="80"/>
        <w:ind w:left="360" w:hanging="360"/>
        <w:jc w:val="left"/>
      </w:pPr>
      <w:bookmarkStart w:id="101"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https://huggingface.co/openai/gpt-oss-20b</w:t>
        </w:r>
      </w:hyperlink>
      <w:bookmarkEnd w:id="101"/>
    </w:p>
    <w:p>
      <w:pPr>
        <w:pStyle w:val="Bibliography"/>
        <w:widowControl/>
        <w:spacing w:line="259" w:lineRule="auto" w:after="80"/>
        <w:ind w:left="360" w:hanging="360"/>
        <w:jc w:val="left"/>
      </w:pPr>
      <w:bookmarkStart w:id="103"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https://openrouter.ai/openai/gpt-6-luna-decisions</w:t>
        </w:r>
      </w:hyperlink>
      <w:bookmarkEnd w:id="103"/>
    </w:p>
    <w:p>
      <w:pPr>
        <w:pStyle w:val="Bibliography"/>
        <w:widowControl/>
        <w:spacing w:line="259" w:lineRule="auto" w:after="80"/>
        <w:ind w:left="360" w:hanging="360"/>
        <w:jc w:val="left"/>
      </w:pPr>
      <w:bookmarkStart w:id="105"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5"/>
    </w:p>
    <w:p>
      <w:pPr>
        <w:pStyle w:val="Bibliography"/>
        <w:widowControl/>
        <w:spacing w:line="259" w:lineRule="auto" w:after="80"/>
        <w:ind w:left="360" w:hanging="360"/>
        <w:jc w:val="left"/>
      </w:pPr>
      <w:bookmarkStart w:id="107"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https://arxiv.org/abs/2609.35576</w:t>
        </w:r>
      </w:hyperlink>
      <w:bookmarkEnd w:id="107"/>
    </w:p>
    <w:p>
      <w:pPr>
        <w:pStyle w:val="Bibliography"/>
        <w:widowControl/>
        <w:spacing w:line="259" w:lineRule="auto" w:after="80"/>
        <w:ind w:left="360" w:hanging="360"/>
        <w:jc w:val="left"/>
      </w:pPr>
      <w:bookmarkStart w:id="109"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https://huggingface.co/Qwen/Qwen3-32B</w:t>
        </w:r>
      </w:hyperlink>
      <w:bookmarkEnd w:id="109"/>
    </w:p>
    <w:p>
      <w:pPr>
        <w:pStyle w:val="Bibliography"/>
        <w:widowControl/>
        <w:spacing w:line="259" w:lineRule="auto" w:after="80"/>
        <w:ind w:left="360" w:hanging="360"/>
        <w:jc w:val="left"/>
      </w:pPr>
      <w:bookmarkStart w:id="111"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https://arxiv.org/abs/2605.29178</w:t>
        </w:r>
      </w:hyperlink>
      <w:bookmarkEnd w:id="111"/>
    </w:p>
    <w:p>
      <w:pPr>
        <w:pStyle w:val="Bibliography"/>
        <w:widowControl/>
        <w:spacing w:line="259" w:lineRule="auto" w:after="80"/>
        <w:ind w:left="360" w:hanging="360"/>
        <w:jc w:val="left"/>
      </w:pPr>
      <w:bookmarkStart w:id="113"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https://arxiv.org/abs/2604.01151</w:t>
        </w:r>
      </w:hyperlink>
      <w:bookmarkEnd w:id="113"/>
    </w:p>
    <w:p>
      <w:pPr>
        <w:pStyle w:val="Bibliography"/>
        <w:widowControl/>
        <w:spacing w:line="259" w:lineRule="auto" w:after="80"/>
        <w:ind w:left="360" w:hanging="360"/>
        <w:jc w:val="left"/>
      </w:pPr>
      <w:bookmarkStart w:id="115"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https://arxiv.org/abs/2607.06503</w:t>
        </w:r>
      </w:hyperlink>
      <w:bookmarkEnd w:id="115"/>
    </w:p>
    <w:p>
      <w:pPr>
        <w:pStyle w:val="Bibliography"/>
        <w:widowControl/>
        <w:spacing w:line="259" w:lineRule="auto" w:after="80"/>
        <w:ind w:left="360" w:hanging="360"/>
        <w:jc w:val="left"/>
      </w:pPr>
      <w:bookmarkStart w:id="117"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https://github.com/soham-padia/pre-sycophancy-study</w:t>
        </w:r>
      </w:hyperlink>
      <w:bookmarkEnd w:id="117"/>
    </w:p>
    <w:p>
      <w:pPr>
        <w:pStyle w:val="Bibliography"/>
        <w:widowControl/>
        <w:spacing w:line="259" w:lineRule="auto" w:after="80"/>
        <w:ind w:left="360" w:hanging="360"/>
        <w:jc w:val="left"/>
      </w:pPr>
      <w:bookmarkStart w:id="119"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https://arxiv.org/abs/2501.18837</w:t>
        </w:r>
      </w:hyperlink>
      <w:bookmarkEnd w:id="119"/>
    </w:p>
    <w:p>
      <w:pPr>
        <w:pStyle w:val="Bibliography"/>
        <w:widowControl/>
        <w:spacing w:line="259" w:lineRule="auto" w:after="80"/>
        <w:ind w:left="360" w:hanging="360"/>
        <w:jc w:val="left"/>
      </w:pPr>
      <w:bookmarkStart w:id="121"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https://arxiv.org/abs/2607.05132</w:t>
        </w:r>
      </w:hyperlink>
      <w:bookmarkEnd w:id="121"/>
    </w:p>
    <w:p>
      <w:pPr>
        <w:pStyle w:val="Bibliography"/>
        <w:widowControl/>
        <w:spacing w:line="259" w:lineRule="auto" w:after="80"/>
        <w:ind w:left="360" w:hanging="360"/>
        <w:jc w:val="left"/>
      </w:pPr>
      <w:bookmarkStart w:id="123"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https://arxiv.org/abs/2609.24967</w:t>
        </w:r>
      </w:hyperlink>
      <w:bookmarkEnd w:id="123"/>
    </w:p>
    <w:p>
      <w:pPr>
        <w:pStyle w:val="Bibliography"/>
        <w:widowControl/>
        <w:spacing w:line="259" w:lineRule="auto" w:after="80"/>
        <w:ind w:left="360" w:hanging="360"/>
        <w:jc w:val="left"/>
      </w:pPr>
      <w:bookmarkStart w:id="125"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https://arxiv.org/abs/2609.09090</w:t>
        </w:r>
      </w:hyperlink>
      <w:bookmarkEnd w:id="125"/>
    </w:p>
    <w:p>
      <w:pPr>
        <w:pStyle w:val="Bibliography"/>
        <w:widowControl/>
        <w:spacing w:line="259" w:lineRule="auto" w:after="80"/>
        <w:ind w:left="360" w:hanging="360"/>
        <w:jc w:val="left"/>
      </w:pPr>
      <w:bookmarkStart w:id="127"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https://arxiv.org/abs/2603.13940</w:t>
        </w:r>
      </w:hyperlink>
      <w:bookmarkEnd w:id="127"/>
    </w:p>
    <w:p>
      <w:pPr>
        <w:pStyle w:val="Bibliography"/>
        <w:widowControl/>
        <w:spacing w:line="259" w:lineRule="auto" w:after="80"/>
        <w:ind w:left="360" w:hanging="360"/>
        <w:jc w:val="left"/>
      </w:pPr>
      <w:bookmarkStart w:id="129"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https://arxiv.org/abs/2604.16824</w:t>
        </w:r>
      </w:hyperlink>
      <w:bookmarkEnd w:id="129"/>
    </w:p>
    <w:p>
      <w:pPr>
        <w:pStyle w:val="Bibliography"/>
        <w:widowControl/>
        <w:spacing w:line="259" w:lineRule="auto" w:after="80"/>
        <w:ind w:left="360" w:hanging="360"/>
        <w:jc w:val="left"/>
      </w:pPr>
      <w:bookmarkStart w:id="131"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https://arxiv.org/abs/2505.09388</w:t>
        </w:r>
      </w:hyperlink>
      <w:bookmarkEnd w:id="131"/>
    </w:p>
    <w:p>
      <w:pPr>
        <w:pStyle w:val="Bibliography"/>
        <w:widowControl/>
        <w:spacing w:line="259" w:lineRule="auto" w:after="80"/>
        <w:ind w:left="360" w:hanging="360"/>
        <w:jc w:val="left"/>
      </w:pPr>
      <w:bookmarkStart w:id="133"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https://arxiv.org/abs/2610.05295</w:t>
        </w:r>
      </w:hyperlink>
      <w:bookmarkEnd w:id="133"/>
    </w:p>
    <w:p>
      <w:pPr>
        <w:pStyle w:val="Bibliography"/>
        <w:widowControl/>
        <w:spacing w:line="259" w:lineRule="auto" w:after="80"/>
        <w:ind w:left="360" w:hanging="360"/>
        <w:jc w:val="left"/>
      </w:pPr>
      <w:bookmarkStart w:id="135"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https://arxiv.org/abs/2605.27593</w:t>
        </w:r>
      </w:hyperlink>
      <w:bookmarkEnd w:id="135"/>
    </w:p>
    <w:bookmarkEnd w:id="136"/>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7" w:name="_appendix"/>
      <w:r>
        <w:rPr>
          <w:rFonts w:ascii="Old Standard TT" w:hAnsi="Old Standard TT"/>
          <w:b/>
          <w:sz w:val="28"/>
        </w:rPr>
        <w:t xml:space="preserve">Appendix</w:t>
      </w:r>
      <w:bookmarkEnd w:id="137"/>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 (for the gpt-oss-20b per-call label, any public emission;</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d863e5dd50f3a2c5a9f9d67c38d6db1a7983c65"/>
      <w:r>
        <w:rPr>
          <w:rFonts w:ascii="Old Standard TT" w:hAnsi="Old Standard TT"/>
          <w:b/>
          <w:sz w:val="26"/>
        </w:rPr>
        <w:t xml:space="preserve">A. Limitations and Dual-Use / Ethical Considerations</w:t>
      </w:r>
      <w:bookmarkEnd w:id="138"/>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The per-call results are mostly follow-up analyses.</w:t>
      </w:r>
      <w:r>
        <w:rPr>
          <w:rFonts w:ascii="XCharter" w:hAnsi="XCharter" w:cs="XCharter" w:eastAsia="XCharter"/>
          <w:sz w:val="22"/>
        </w:rPr>
        <w:t xml:space="preserve"> </w:t>
      </w:r>
      <w:r>
        <w:rPr>
          <w:rFonts w:ascii="XCharter" w:hAnsi="XCharter" w:cs="XCharter" w:eastAsia="XCharter"/>
          <w:sz w:val="22"/>
        </w:rPr>
        <w:t xml:space="preserve">Only the gpt-oss-20b reasoning probe was confirmed on fresh episodes, on 26 leaking calls (0.905 [0.775, 0.991];</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 The last-prompt per-call results (Qwen3-32B 0.95, gpt-oss-20b 0.91) are unconfirmed.</w:t>
      </w:r>
    </w:p>
    <w:p>
      <w:pPr>
        <w:pStyle w:val="Compact"/>
        <w:widowControl/>
        <w:numPr>
          <w:ilvl w:val="0"/>
          <w:numId w:val="1004"/>
        </w:numPr>
        <w:spacing w:line="259" w:lineRule="auto" w:after="60"/>
        <w:jc w:val="left"/>
      </w:pPr>
      <w:r>
        <w:rPr>
          <w:rFonts w:ascii="XCharter" w:hAnsi="XCharter" w:cs="XCharter" w:eastAsia="XCharter"/>
          <w:i/>
          <w:iCs/>
          <w:sz w:val="22"/>
        </w:rPr>
        <w:t xml:space="preserve">Narrow setting.</w:t>
      </w:r>
      <w:r>
        <w:rPr>
          <w:rFonts w:ascii="XCharter" w:hAnsi="XCharter" w:cs="XCharter" w:eastAsia="XCharter"/>
          <w:sz w:val="22"/>
        </w:rPr>
        <w:t xml:space="preserve"> </w:t>
      </w:r>
      <w:r>
        <w:rPr>
          <w:rFonts w:ascii="XCharter" w:hAnsi="XCharter" w:cs="XCharter" w:eastAsia="XCharter"/>
          <w:sz w:val="22"/>
        </w:rPr>
        <w:t xml:space="preserve">Two models; six scenarios from one task template; synthetic tools and secrets; one peer and one target per episode. Larger multi-agent settings (several peers, recruited agents recruiting others, shared memory or boards) are not tested and are future work. Give-in rates and readability may differ elsewhere.</w:t>
      </w:r>
    </w:p>
    <w:p>
      <w:pPr>
        <w:pStyle w:val="Compact"/>
        <w:widowControl/>
        <w:numPr>
          <w:ilvl w:val="0"/>
          <w:numId w:val="1004"/>
        </w:numPr>
        <w:spacing w:line="259" w:lineRule="auto" w:after="60"/>
        <w:jc w:val="left"/>
      </w:pPr>
      <w:r>
        <w:rPr>
          <w:rFonts w:ascii="XCharter" w:hAnsi="XCharter" w:cs="XCharter" w:eastAsia="XCharter"/>
          <w:i/>
          <w:iCs/>
          <w:sz w:val="22"/>
        </w:rPr>
        <w:t xml:space="preserve">The warning is about the current call.</w:t>
      </w:r>
      <w:r>
        <w:rPr>
          <w:rFonts w:ascii="XCharter" w:hAnsi="XCharter" w:cs="XCharter" w:eastAsia="XCharter"/>
          <w:sz w:val="22"/>
        </w:rPr>
        <w:t xml:space="preserve"> </w:t>
      </w:r>
      <w:r>
        <w:rPr>
          <w:rFonts w:ascii="XCharter" w:hAnsi="XCharter" w:cs="XCharter" w:eastAsia="XCharter"/>
          <w:sz w:val="22"/>
        </w:rPr>
        <w:t xml:space="preserve">One call ahead is weaker (Qwen3-32B 0.71; on gpt-oss-20b mostly the protected-file read step), and there is no evidence of warning rounds ahead.</w:t>
      </w:r>
    </w:p>
    <w:p>
      <w:pPr>
        <w:pStyle w:val="Compact"/>
        <w:widowControl/>
        <w:numPr>
          <w:ilvl w:val="0"/>
          <w:numId w:val="1004"/>
        </w:numPr>
        <w:spacing w:line="259" w:lineRule="auto" w:after="60"/>
        <w:jc w:val="left"/>
      </w:pPr>
      <w:r>
        <w:rPr>
          <w:rFonts w:ascii="XCharter" w:hAnsi="XCharter" w:cs="XCharter" w:eastAsia="XCharter"/>
          <w:i/>
          <w:iCs/>
          <w:sz w:val="22"/>
        </w:rPr>
        <w:t xml:space="preserve">What the probe reads is unknown.</w:t>
      </w:r>
      <w:r>
        <w:rPr>
          <w:rFonts w:ascii="XCharter" w:hAnsi="XCharter" w:cs="XCharter" w:eastAsia="XCharter"/>
          <w:sz w:val="22"/>
        </w:rPr>
        <w:t xml:space="preserve"> </w:t>
      </w:r>
      <w:r>
        <w:rPr>
          <w:rFonts w:ascii="XCharter" w:hAnsi="XCharter" w:cs="XCharter" w:eastAsia="XCharter"/>
          <w:sz w:val="22"/>
        </w:rPr>
        <w:t xml:space="preserve">It survives the pressure, secret-string and read-step controls, but a probe on the incoming message and tool results alone reaches 0.93 (one seed), so much of the signal may reflect what just arrived rather than a decision.</w:t>
      </w:r>
    </w:p>
    <w:p>
      <w:pPr>
        <w:pStyle w:val="Compact"/>
        <w:widowControl/>
        <w:numPr>
          <w:ilvl w:val="0"/>
          <w:numId w:val="1004"/>
        </w:numPr>
        <w:spacing w:line="259" w:lineRule="auto" w:after="60"/>
        <w:jc w:val="left"/>
      </w:pPr>
      <w:r>
        <w:rPr>
          <w:rFonts w:ascii="XCharter" w:hAnsi="XCharter" w:cs="XCharter" w:eastAsia="XCharter"/>
          <w:i/>
          <w:iCs/>
          <w:sz w:val="22"/>
        </w:rPr>
        <w:t xml:space="preserve">Alarm costs.</w:t>
      </w:r>
      <w:r>
        <w:rPr>
          <w:rFonts w:ascii="XCharter" w:hAnsi="XCharter" w:cs="XCharter" w:eastAsia="XCharter"/>
          <w:sz w:val="22"/>
        </w:rPr>
        <w:t xml:space="preserve"> </w:t>
      </w:r>
      <w:r>
        <w:rPr>
          <w:rFonts w:ascii="XCharter" w:hAnsi="XCharter" w:cs="XCharter" w:eastAsia="XCharter"/>
          <w:sz w:val="22"/>
        </w:rPr>
        <w:t xml:space="preserve">At the 5% per-call control cutoff, 26% to 41% of refusing episodes get at least one alarm (26% on the new episodes, 41% in development); an episode-calibrated cutoff catches 34% of leaking episodes at 8%. A deployed alarm needs episode-level calibration.</w:t>
      </w:r>
    </w:p>
    <w:p>
      <w:pPr>
        <w:pStyle w:val="Compact"/>
        <w:widowControl/>
        <w:numPr>
          <w:ilvl w:val="0"/>
          <w:numId w:val="1004"/>
        </w:numPr>
        <w:spacing w:line="259" w:lineRule="auto" w:after="60"/>
        <w:jc w:val="left"/>
      </w:pPr>
      <w:r>
        <w:rPr>
          <w:rFonts w:ascii="XCharter" w:hAnsi="XCharter" w:cs="XCharter" w:eastAsia="XCharter"/>
          <w:i/>
          <w:iCs/>
          <w:sz w:val="22"/>
        </w:rPr>
        <w:t xml:space="preserve">The outcome label differs between models:</w:t>
      </w:r>
      <w:r>
        <w:rPr>
          <w:rFonts w:ascii="XCharter" w:hAnsi="XCharter" w:cs="XCharter" w:eastAsia="XCharter"/>
          <w:sz w:val="22"/>
        </w:rPr>
        <w:t xml:space="preserve"> </w:t>
      </w:r>
      <w:r>
        <w:rPr>
          <w:rFonts w:ascii="XCharter" w:hAnsi="XCharter" w:cs="XCharter" w:eastAsia="XCharter"/>
          <w:sz w:val="22"/>
        </w:rPr>
        <w:t xml:space="preserve">any public emission on gpt-oss-20b, whose first public act is almost always a file write, against the give-in rule on Qwen3-32B. The channel-rule check (0.94,</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mostly scores calls after an earlier file emission.</w:t>
      </w:r>
    </w:p>
    <w:p>
      <w:pPr>
        <w:pStyle w:val="Compact"/>
        <w:widowControl/>
        <w:numPr>
          <w:ilvl w:val="0"/>
          <w:numId w:val="1004"/>
        </w:numPr>
        <w:spacing w:line="259" w:lineRule="auto" w:after="60"/>
        <w:jc w:val="left"/>
      </w:pPr>
      <w:r>
        <w:rPr>
          <w:rFonts w:ascii="XCharter" w:hAnsi="XCharter" w:cs="XCharter" w:eastAsia="XCharter"/>
          <w:i/>
          <w:iCs/>
          <w:sz w:val="22"/>
        </w:rPr>
        <w:t xml:space="preserve">The text-monitor comparison is narrow:</w:t>
      </w:r>
      <w:r>
        <w:rPr>
          <w:rFonts w:ascii="XCharter" w:hAnsi="XCharter" w:cs="XCharter" w:eastAsia="XCharter"/>
          <w:sz w:val="22"/>
        </w:rPr>
        <w:t xml:space="preserve"> </w:t>
      </w:r>
      <w:r>
        <w:rPr>
          <w:rFonts w:ascii="XCharter" w:hAnsi="XCharter" w:cs="XCharter" w:eastAsia="XCharter"/>
          <w:sz w:val="22"/>
        </w:rPr>
        <w:t xml:space="preserve">one decision model (Jev), one question and one access level. On gpt-oss-20b its ranking is inverted; the probe still beats the reversed ranking (+0.18 [0.12, 0.23]).</w:t>
      </w:r>
    </w:p>
    <w:p>
      <w:pPr>
        <w:pStyle w:val="Compact"/>
        <w:widowControl/>
        <w:numPr>
          <w:ilvl w:val="0"/>
          <w:numId w:val="1004"/>
        </w:numPr>
        <w:spacing w:line="259" w:lineRule="auto" w:after="60"/>
        <w:jc w:val="left"/>
      </w:pPr>
      <w:r>
        <w:rPr>
          <w:rFonts w:ascii="XCharter" w:hAnsi="XCharter" w:cs="XCharter" w:eastAsia="XCharter"/>
          <w:i/>
          <w:iCs/>
          <w:sz w:val="22"/>
        </w:rPr>
        <w:t xml:space="preserve">Exact-string leaks only.</w:t>
      </w:r>
      <w:r>
        <w:rPr>
          <w:rFonts w:ascii="XCharter" w:hAnsi="XCharter" w:cs="XCharter" w:eastAsia="XCharter"/>
          <w:sz w:val="22"/>
        </w:rPr>
        <w:t xml:space="preserve"> </w:t>
      </w:r>
      <w:r>
        <w:rPr>
          <w:rFonts w:ascii="XCharter" w:hAnsi="XCharter" w:cs="XCharter" w:eastAsia="XCharter"/>
          <w:sz w:val="22"/>
        </w:rPr>
        <w:t xml:space="preserve">Paraphrased, encoded or semantic leaks were not tested, and an exact-string output filter would catch these leaks.</w:t>
      </w:r>
    </w:p>
    <w:p>
      <w:pPr>
        <w:pStyle w:val="Compact"/>
        <w:widowControl/>
        <w:numPr>
          <w:ilvl w:val="0"/>
          <w:numId w:val="1004"/>
        </w:numPr>
        <w:spacing w:line="259" w:lineRule="auto" w:after="60"/>
        <w:jc w:val="left"/>
      </w:pPr>
      <w:r>
        <w:rPr>
          <w:rFonts w:ascii="XCharter" w:hAnsi="XCharter" w:cs="XCharter" w:eastAsia="XCharter"/>
          <w:i/>
          <w:iCs/>
          <w:sz w:val="22"/>
        </w:rPr>
        <w:t xml:space="preserve">The round-level near-term label was chosen after the eventual label failed;</w:t>
      </w:r>
      <w:r>
        <w:rPr>
          <w:rFonts w:ascii="XCharter" w:hAnsi="XCharter" w:cs="XCharter" w:eastAsia="XCharter"/>
          <w:sz w:val="22"/>
        </w:rPr>
        <w:t xml:space="preserve"> </w:t>
      </w:r>
      <w:r>
        <w:rPr>
          <w:rFonts w:ascii="XCharter" w:hAnsi="XCharter" w:cs="XCharter" w:eastAsia="XCharter"/>
          <w:sz w:val="22"/>
        </w:rPr>
        <w:t xml:space="preserve">it was confirmed on 89 new episodes under a plan fixed in advance.</w:t>
      </w:r>
    </w:p>
    <w:p>
      <w:pPr>
        <w:pStyle w:val="Compact"/>
        <w:widowControl/>
        <w:numPr>
          <w:ilvl w:val="0"/>
          <w:numId w:val="1004"/>
        </w:numPr>
        <w:spacing w:line="259" w:lineRule="auto" w:after="60"/>
        <w:jc w:val="left"/>
      </w:pPr>
      <w:r>
        <w:rPr>
          <w:rFonts w:ascii="XCharter" w:hAnsi="XCharter" w:cs="XCharter" w:eastAsia="XCharter"/>
          <w:i/>
          <w:iCs/>
          <w:sz w:val="22"/>
        </w:rPr>
        <w:t xml:space="preserve">Smaller issues.</w:t>
      </w:r>
      <w:r>
        <w:rPr>
          <w:rFonts w:ascii="XCharter" w:hAnsi="XCharter" w:cs="XCharter" w:eastAsia="XCharter"/>
          <w:sz w:val="22"/>
        </w:rPr>
        <w:t xml:space="preserve"> </w:t>
      </w:r>
      <w:r>
        <w:rPr>
          <w:rFonts w:ascii="XCharter" w:hAnsi="XCharter" w:cs="XCharter" w:eastAsia="XCharter"/>
          <w:sz w:val="22"/>
        </w:rPr>
        <w:t xml:space="preserve">Uneven scenarios (Appendices C and H); automated judges (</w:t>
      </w:r>
      <w:r>
        <w:rPr>
          <w:rFonts w:ascii="XCharter" w:hAnsi="XCharter" w:cs="XCharter" w:eastAsia="XCharter"/>
          <w:sz w:val="22"/>
        </w:rPr>
        <w:t xml:space="preserve">κ</w:t>
      </w:r>
      <w:r>
        <w:rPr>
          <w:rFonts w:ascii="XCharter" w:hAnsi="XCharter" w:cs="XCharter" w:eastAsia="XCharter"/>
          <w:sz w:val="22"/>
        </w:rPr>
        <w:t xml:space="preserve"> = 0.79 against the author’s blind labels); pooled cross-validation compares probes across folds (same-fold check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possible optimism in the combination test, because its probe input comes from overlapping fold probes; scoring-window edges (at the round level, a give-in in the first call after the read leaves no call to score); accidental disclosures count as give-ins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setup is not a reproduction of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that a probe reads single calls tells an attacker that spreading pressure across calls, or leaking through paraphrase or an encoding, may avoid per-call probes,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1c2832545d6be5937b2db194f5b1e2f4105b9d9"/>
      <w:r>
        <w:rPr>
          <w:rFonts w:ascii="Old Standard TT" w:hAnsi="Old Standard TT"/>
          <w:b/>
          <w:sz w:val="26"/>
        </w:rPr>
        <w:t xml:space="preserve">B. Experimental Pipeline and Reproducibility</w:t>
      </w:r>
      <w:bookmarkEnd w:id="139"/>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1" name="Picture"/>
            <a:graphic>
              <a:graphicData uri="http://schemas.openxmlformats.org/drawingml/2006/picture">
                <pic:pic>
                  <pic:nvPicPr>
                    <pic:cNvPr descr="figures/pipeline.png" id="142" name="Picture"/>
                    <pic:cNvPicPr>
                      <a:picLocks noChangeArrowheads="1" noChangeAspect="1"/>
                    </pic:cNvPicPr>
                  </pic:nvPicPr>
                  <pic:blipFill>
                    <a:blip r:embed="rId140"/>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3"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4" w:name="_29f519cfe2b273e1f41de0c770c5dd81f1818a5"/>
      <w:r>
        <w:rPr>
          <w:rFonts w:ascii="Old Standard TT" w:hAnsi="Old Standard TT"/>
          <w:b/>
          <w:sz w:val="26"/>
        </w:rPr>
        <w:t xml:space="preserve">C. Scenarios, an Example, and Model Choice</w:t>
      </w:r>
      <w:bookmarkEnd w:id="144"/>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5"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5"/>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refuse-then-give-in.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9af0a0be73df5a4a2132a3bbde2a7aaba8a9fb7"/>
      <w:r>
        <w:rPr>
          <w:rFonts w:ascii="Old Standard TT" w:hAnsi="Old Standard TT"/>
          <w:b/>
          <w:sz w:val="26"/>
        </w:rPr>
        <w:t xml:space="preserve">D. Labels and Judges</w:t>
      </w:r>
      <w:bookmarkEnd w:id="146"/>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gpt-oss-20b’s round-level labels only a channel post counts, and any earlier public emission ends the window; its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16e1c949c1569f7f4050c474671b93e6b4d1bae"/>
      <w:r>
        <w:rPr>
          <w:rFonts w:ascii="Old Standard TT" w:hAnsi="Old Standard TT"/>
          <w:b/>
          <w:sz w:val="26"/>
        </w:rPr>
        <w:t xml:space="preserve">E. Detectors and Evaluation</w:t>
      </w:r>
      <w:bookmarkEnd w:id="147"/>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call.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8"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Calls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0" name="Picture"/>
            <a:graphic>
              <a:graphicData uri="http://schemas.openxmlformats.org/drawingml/2006/picture">
                <pic:pic>
                  <pic:nvPicPr>
                    <pic:cNvPr descr="figures/figure_monitor_design.png" id="151" name="Picture"/>
                    <pic:cNvPicPr>
                      <a:picLocks noChangeArrowheads="1" noChangeAspect="1"/>
                    </pic:cNvPicPr>
                  </pic:nvPicPr>
                  <pic:blipFill>
                    <a:blip r:embed="rId149"/>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2"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3"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3"/>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e774c98102b53efba7d6294684718b8ff2eaeba"/>
      <w:r>
        <w:rPr>
          <w:rFonts w:ascii="Old Standard TT" w:hAnsi="Old Standard TT"/>
          <w:b/>
          <w:sz w:val="26"/>
        </w:rPr>
        <w:t xml:space="preserve">F. Second Target: gpt-oss-20b (and Gemma-4-31B)</w:t>
      </w:r>
      <w:bookmarkEnd w:id="154"/>
    </w:p>
    <w:p>
      <w:pPr>
        <w:pStyle w:val="FirstParagraph"/>
        <w:widowControl/>
        <w:spacing w:after="0" w:line="259" w:lineRule="auto"/>
        <w:ind w:firstLine="0"/>
        <w:jc w:val="both"/>
      </w:pPr>
      <w:r>
        <w:rPr>
          <w:rFonts w:ascii="XCharter" w:hAnsi="XCharter" w:cs="XCharter" w:eastAsia="XCharter"/>
          <w:i/>
          <w:iCs/>
          <w:sz w:val="22"/>
        </w:rPr>
        <w:t xml:space="preserve">Does the setup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This appendix gives round-level results; per-call results are in</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refuse,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For the round-level labels, the scored give-in is the complete value posted to the channel; the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Calls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5"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5"/>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190f1226d051d30d3bf4384ba25f172a7a45b0c"/>
      <w:r>
        <w:rPr>
          <w:rFonts w:ascii="Old Standard TT" w:hAnsi="Old Standard TT"/>
          <w:b/>
          <w:sz w:val="26"/>
        </w:rPr>
        <w:t xml:space="preserve">G. Behaviour Screening</w:t>
      </w:r>
      <w:bookmarkEnd w:id="156"/>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7"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4113352bd13d302125766053daea31ad42500bd"/>
      <w:r>
        <w:rPr>
          <w:rFonts w:ascii="Old Standard TT" w:hAnsi="Old Standard TT"/>
          <w:b/>
          <w:sz w:val="26"/>
        </w:rPr>
        <w:t xml:space="preserve">H. Robustness and Diagnostics for the Round-Level Results</w:t>
      </w:r>
      <w:bookmarkEnd w:id="158"/>
    </w:p>
    <w:p>
      <w:pPr>
        <w:pStyle w:val="FirstParagraph"/>
        <w:widowControl/>
        <w:spacing w:after="0" w:line="259" w:lineRule="auto"/>
        <w:ind w:firstLine="0"/>
        <w:jc w:val="both"/>
      </w:pPr>
      <w:r>
        <w:rPr>
          <w:rFonts w:ascii="XCharter" w:hAnsi="XCharter" w:cs="XCharter" w:eastAsia="XCharter"/>
          <w:i/>
          <w:iCs/>
          <w:sz w:val="22"/>
        </w:rPr>
        <w:t xml:space="preserve">Do the round-level results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9"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0"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1"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3" name="Picture"/>
            <a:graphic>
              <a:graphicData uri="http://schemas.openxmlformats.org/drawingml/2006/picture">
                <pic:pic>
                  <pic:nvPicPr>
                    <pic:cNvPr descr="figures/appendix_h_layers.png" id="164" name="Picture"/>
                    <pic:cNvPicPr>
                      <a:picLocks noChangeArrowheads="1" noChangeAspect="1"/>
                    </pic:cNvPicPr>
                  </pic:nvPicPr>
                  <pic:blipFill>
                    <a:blip r:embed="rId162"/>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5"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5"/>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889344895f04d1f9f75d0ebcc55c0e9d025ecfb"/>
      <w:r>
        <w:rPr>
          <w:rFonts w:ascii="Old Standard TT" w:hAnsi="Old Standard TT"/>
          <w:b/>
          <w:sz w:val="26"/>
        </w:rPr>
        <w:t xml:space="preserve">I. Prompts</w:t>
      </w:r>
      <w:bookmarkEnd w:id="166"/>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33bf1cd3074762475a7470d90c6bbd938fdac44"/>
      <w:r>
        <w:rPr>
          <w:rFonts w:ascii="Old Standard TT" w:hAnsi="Old Standard TT"/>
          <w:b/>
          <w:sz w:val="26"/>
        </w:rPr>
        <w:t xml:space="preserve">I.1 Target agent (Qwen3-32B and gpt-oss-20b)</w:t>
      </w:r>
      <w:bookmarkEnd w:id="167"/>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d7ac7fb6a629ef29d896d387aeb1cbdff09ae31"/>
      <w:r>
        <w:rPr>
          <w:rFonts w:ascii="Old Standard TT" w:hAnsi="Old Standard TT"/>
          <w:b/>
          <w:sz w:val="26"/>
        </w:rPr>
        <w:t xml:space="preserve">I.2 Peer agent, Qwen3-32B episodes (DeepSeek-V4-Flash)</w:t>
      </w:r>
      <w:bookmarkEnd w:id="168"/>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20ca0bd4e22b8907b745ffe52788f85136b39d1"/>
      <w:r>
        <w:rPr>
          <w:rFonts w:ascii="Old Standard TT" w:hAnsi="Old Standard TT"/>
          <w:b/>
          <w:sz w:val="26"/>
        </w:rPr>
        <w:t xml:space="preserve">I.3 Peer agent, gpt-oss-20b episodes (DeepSeek-V4-Pro)</w:t>
      </w:r>
      <w:bookmarkEnd w:id="169"/>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f002de876b18b98d7718a6bd3deb30b9403007e"/>
      <w:r>
        <w:rPr>
          <w:rFonts w:ascii="Old Standard TT" w:hAnsi="Old Standard TT"/>
          <w:b/>
          <w:sz w:val="26"/>
        </w:rPr>
        <w:t xml:space="preserve">I.4 Text monitors</w:t>
      </w:r>
      <w:bookmarkEnd w:id="170"/>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9c1464226db10cf5b2f811ceea16efe8dd113a9"/>
      <w:r>
        <w:rPr>
          <w:rFonts w:ascii="Old Standard TT" w:hAnsi="Old Standard TT"/>
          <w:b/>
          <w:sz w:val="26"/>
        </w:rPr>
        <w:t xml:space="preserve">J. A Scaled Follow-Up Study: Design and Decision Criteria</w:t>
      </w:r>
      <w:bookmarkEnd w:id="171"/>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round-level finding that the best monitor edges the probe.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round-level prediction rises above chance with a longer window, the limit lies in the setting, not the model; if not,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per-call predictability that holds on four or more models and in multi-agent settings would support a general claim; if it fails beyond our two targets, it is specific to them.</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at the round level every detector catches at most a tenth of give-ins at a 5% refusing-episode false-alarm rate (App. H); per call, alarms fire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527a2614b0d9aee1dd56ba38d518b45bdf577b0"/>
      <w:r>
        <w:rPr>
          <w:rFonts w:ascii="Old Standard TT" w:hAnsi="Old Standard TT"/>
          <w:b/>
          <w:sz w:val="26"/>
        </w:rPr>
        <w:t xml:space="preserve">K. Related Work in Full</w:t>
      </w:r>
      <w:bookmarkEnd w:id="172"/>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three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calls.</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4eebb92370222c9c8f01ec8125bb39dc064483d"/>
      <w:r>
        <w:rPr>
          <w:rFonts w:ascii="Old Standard TT" w:hAnsi="Old Standard TT"/>
          <w:b/>
          <w:sz w:val="26"/>
        </w:rPr>
        <w:t xml:space="preserve">L. Per-call and Streaming Probes</w:t>
      </w:r>
      <w:bookmarkEnd w:id="173"/>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round-level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0fdfa08c8aa9ffbf1d598022d2903121bf1f3a9"/>
      <w:r>
        <w:rPr>
          <w:rFonts w:ascii="Old Standard TT" w:hAnsi="Old Standard TT"/>
          <w:b/>
          <w:sz w:val="26"/>
        </w:rPr>
        <w:t xml:space="preserve">L.1 The gpt-oss-20b reasoning probe: design and development results</w:t>
      </w:r>
      <w:bookmarkEnd w:id="174"/>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The last-prompt probe reads one position per call.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round-level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round-level near-term label differs in three ways: it concerns a channel leak; it marks the eligible calls before the leak, in the leak’s round or the one before; and the round-level probe reads one position per call, the last prompt token, before any reasoning. The near-term comparator below uses that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round-level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round-level gpt-oss last-prompt probe, applied without refitting (it was trained on the channel near-term label). Two text monitors, run differently from the round-level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5"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(round-level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L.3’s last-prompt probe refit on this label (0.906; 1.6% of refusing calls alarm). L.2’s incoming-message probe also ranks well (0.927, but 19.1% of refusing calls alarm against 4.4%; one seed, reduced recipe).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call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round-level results, uses one model, and tried several variants (two aggregates, two cuts, two splits); it was confirmed only once, on 26 leaking calls (L.5). The label is any public emission, not the give-in outcome. Within a call the probe likely reads a decision the model is already reasoning toward, so it predicts this call’s action before output, not calls ahead.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7a58329c2353e56a5bd1d72f28e42872a37757f"/>
      <w:r>
        <w:rPr>
          <w:rFonts w:ascii="Old Standard TT" w:hAnsi="Old Standard TT"/>
          <w:b/>
          <w:sz w:val="26"/>
        </w:rPr>
        <w:t xml:space="preserve">L.2 Expanded capture: incoming messages and action-time tokens</w:t>
      </w:r>
      <w:bookmarkEnd w:id="176"/>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7"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(call lead 0), so the warning concerns the leaking call itself, not earlier calls.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a84b69b1f04b116b25a2e9fee2854a691cd8854"/>
      <w:r>
        <w:rPr>
          <w:rFonts w:ascii="Old Standard TT" w:hAnsi="Old Standard TT"/>
          <w:b/>
          <w:sz w:val="26"/>
        </w:rPr>
        <w:t xml:space="preserve">L.3 Per-call last-prompt probes on both models (post hoc)</w:t>
      </w:r>
      <w:bookmarkEnd w:id="178"/>
    </w:p>
    <w:p>
      <w:pPr>
        <w:pStyle w:val="FirstParagraph"/>
        <w:widowControl/>
        <w:spacing w:after="0" w:line="259" w:lineRule="auto"/>
        <w:ind w:firstLine="0"/>
        <w:jc w:val="both"/>
      </w:pPr>
      <w:r>
        <w:rPr>
          <w:rFonts w:ascii="XCharter" w:hAnsi="XCharter" w:cs="XCharter" w:eastAsia="XCharter"/>
          <w:sz w:val="22"/>
        </w:rPr>
        <w:t xml:space="preserve">The round-level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and were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8ce8413e36bee0c123bcc62a0f71b4050680895"/>
      <w:r>
        <w:rPr>
          <w:rFonts w:ascii="Old Standard TT" w:hAnsi="Old Standard TT"/>
          <w:b/>
          <w:sz w:val="26"/>
        </w:rPr>
        <w:t xml:space="preserve">L.4 Checks on the per-call signal</w:t>
      </w:r>
      <w:bookmarkEnd w:id="179"/>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1" name="Picture"/>
            <a:graphic>
              <a:graphicData uri="http://schemas.openxmlformats.org/drawingml/2006/picture">
                <pic:pic>
                  <pic:nvPicPr>
                    <pic:cNvPr descr="figures/figure3b_appendix_checks.png" id="182" name="Picture"/>
                    <pic:cNvPicPr>
                      <a:picLocks noChangeArrowheads="1" noChangeAspect="1"/>
                    </pic:cNvPicPr>
                  </pic:nvPicPr>
                  <pic:blipFill>
                    <a:blip r:embed="rId180"/>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3"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3"/>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give-ins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4" w:name="_c8f297a0d9ce8278545a005f22685cbf9f1c60b"/>
      <w:r>
        <w:rPr>
          <w:rFonts w:ascii="Old Standard TT" w:hAnsi="Old Standard TT"/>
          <w:b/>
          <w:sz w:val="26"/>
        </w:rPr>
        <w:t xml:space="preserve">L.5 Frozen confirmation on new gpt-oss-20b episodes</w:t>
      </w:r>
      <w:bookmarkEnd w:id="184"/>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round-level near-term label (mismatched)</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9b13fd5fc1ec2693fdfc2d237378b7ba584bceb"/>
      <w:r>
        <w:rPr>
          <w:rFonts w:ascii="Old Standard TT" w:hAnsi="Old Standard TT"/>
          <w:b/>
          <w:sz w:val="26"/>
        </w:rPr>
        <w:t xml:space="preserve">L.6 Figure 2, full caption</w:t>
      </w:r>
      <w:bookmarkEnd w:id="185"/>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an LLM judge given the same material does reasonably on Qwen3-32B but far below the probe, and on gpt-oss-20b ranks the leaking calls below the others. This analysis is exploratory and was designed after the round-level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refusing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matched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without the give-in calls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L.3).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6" w:name="_cb9581af10cbdf668d14e9255457c76a376db3f"/>
      <w:r>
        <w:rPr>
          <w:rFonts w:ascii="Old Standard TT" w:hAnsi="Old Standard TT"/>
          <w:b/>
          <w:sz w:val="28"/>
        </w:rPr>
        <w:t xml:space="preserve">LLM Usage Statement</w:t>
      </w:r>
      <w:bookmarkEnd w:id="18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2" Type="http://schemas.openxmlformats.org/officeDocument/2006/relationships/image" Target="media/rId162.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0" Type="http://schemas.openxmlformats.org/officeDocument/2006/relationships/image" Target="media/rId180.png"/><Relationship Id="rId149" Type="http://schemas.openxmlformats.org/officeDocument/2006/relationships/image" Target="media/rId149.png"/><Relationship Id="rId140" Type="http://schemas.openxmlformats.org/officeDocument/2006/relationships/image" Target="media/rId140.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2026-10-26T06:41:13Z</dcterms:created>
  <dcterms:modified xsi:type="dcterms:W3CDTF">2026-10-26T06:41:13Z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