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Collusion often begins with recruitment: one agent pressing another to break a rule. We study a representative case - a peer pressing a target for up to 20 rounds to reveal a value its operator wants kept private, such as a deploy token. In six scenarios (one inspired by a 2026 incident), Qwen3-32B gives in on 42% of episodes and gpt-oss-20b on 43%. We compare probes on the target’s activations with text monitors. How well give-in can be predicted depends on how close to the act we ask. Whether it will ever give in is barely predictable, and whether it gives in this round or next only modestly (Qwen3-32B: probe AUROC 0.58, best monitor 0.65, both holding on new episodes). In follow-up experiments asking whether this call will give in, a probe reading before the call generates anything is highly accurate: AUROC 0.95 on held-out scenarios for Qwen3-32B and 0.91 for gpt-oss-20b, above a Jev decision-model monitor given the same conversation (0.74 and 0.27). On gpt-oss-20b, a probe on the streaming reasoning reaches 0.93 and holds at 0.91 on fresh episodes. Predictability forms a ladder: the nearer the act, the sharper the signal. For oversight, monitors need not just filter a harmful action once written: activation probes can flag the call about to give in before it acts, and, scaled to subtler collusion, could stop recruitment before it spreads between agents.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ladder of predictability:</w:t>
      </w:r>
      <w:r>
        <w:rPr>
          <w:rFonts w:ascii="XCharter" w:hAnsi="XCharter" w:cs="XCharter" w:eastAsia="XCharter"/>
          <w:sz w:val="22"/>
        </w:rPr>
        <w:t xml:space="preserve"> </w:t>
      </w:r>
      <w:r>
        <w:rPr>
          <w:rFonts w:ascii="XCharter" w:hAnsi="XCharter" w:cs="XCharter" w:eastAsia="XCharter"/>
          <w:sz w:val="22"/>
        </w:rPr>
        <w:t xml:space="preserve">the nearer the act, the sharper the signal. Eventual give-in is barely predictable, this round or the next modestly (confirmed on new episodes), and this call highly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0.95 on Qwen3-32B and 0.91 on gpt-oss-20b, above a Jev monitor given the same input (0.74 and 0.27). A probe on gpt-oss-20b’s streaming reasoning reaches 0.93 and held on new episodes under a plan fixed in advance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ranking survives the obvious shortcuts:</w:t>
      </w:r>
      <w:r>
        <w:rPr>
          <w:rFonts w:ascii="XCharter" w:hAnsi="XCharter" w:cs="XCharter" w:eastAsia="XCharter"/>
          <w:sz w:val="22"/>
        </w:rPr>
        <w:t xml:space="preserve"> </w:t>
      </w:r>
      <w:r>
        <w:rPr>
          <w:rFonts w:ascii="XCharter" w:hAnsi="XCharter" w:cs="XCharter" w:eastAsia="XCharter"/>
          <w:sz w:val="22"/>
        </w:rPr>
        <w:t xml:space="preserve">every negative call is also pressured, and the result holds under keyword, placebo, censoring and workflow-position checks (</w:t>
      </w:r>
      <w:hyperlink w:anchor="_b21dc55ab05074ea0fc7e23d7e979da2ff589d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For round-level monitors, the question and the input matter:</w:t>
      </w:r>
      <w:r>
        <w:rPr>
          <w:rFonts w:ascii="XCharter" w:hAnsi="XCharter" w:cs="XCharter" w:eastAsia="XCharter"/>
          <w:sz w:val="22"/>
        </w:rPr>
        <w:t xml:space="preserve"> </w:t>
      </w:r>
      <w:r>
        <w:rPr>
          <w:rFonts w:ascii="XCharter" w:hAnsi="XCharter" w:cs="XCharter" w:eastAsia="XCharter"/>
          <w:sz w:val="22"/>
        </w:rPr>
        <w:t xml:space="preserve">the strongest text monitor works best asked to forecast and shown the peer’s messages (</w:t>
      </w:r>
      <w:hyperlink w:anchor="_53a442ad08630cd2bdfad9b210d65fb18fbeef1">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every call we score is already exposed to the value and to the same pressure, and our target is never told to collude, so a probe must predict which call complies,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 an activation monitor with LLM outcome forecasts on AgentDojo. Streaming classifiers score a model’s output token by token and stop it at the first flag</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several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it also carried a single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adds each episode’s first public-emission call (4,844 calls, 101 give-ins).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7" name="Picture"/>
            <a:graphic>
              <a:graphicData uri="http://schemas.openxmlformats.org/drawingml/2006/picture">
                <pic:pic>
                  <pic:nvPicPr>
                    <pic:cNvPr descr="figures/figure1_setup.png" id="18" name="Picture"/>
                    <pic:cNvPicPr>
                      <a:picLocks noChangeArrowheads="1" noChangeAspect="1"/>
                    </pic:cNvPicPr>
                  </pic:nvPicPr>
                  <pic:blipFill>
                    <a:blip r:embed="rId16"/>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9"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19"/>
    </w:p>
    <w:p>
      <w:pPr>
        <w:pStyle w:val="Heading3"/>
        <w:keepNext/>
        <w:spacing w:before="200" w:lineRule="auto"/>
        <w:rPr>
          <w:rFonts w:ascii="Old Standard TT" w:cs="Old Standard TT" w:eastAsia="Old Standard TT" w:hAnsi="Old Standard TT"/>
          <w:b w:val="1"/>
          <w:bCs w:val="1"/>
          <w:color w:val="000000"/>
          <w:sz w:val="26"/>
          <w:szCs w:val="26"/>
        </w:rPr>
      </w:pPr>
      <w:bookmarkStart w:id="20" w:name="_49d7020ce8d99d54ef2f42ab4174e0619897c95"/>
      <w:r>
        <w:rPr>
          <w:rFonts w:ascii="Old Standard TT" w:hAnsi="Old Standard TT"/>
          <w:b/>
          <w:sz w:val="26"/>
        </w:rPr>
        <w:t xml:space="preserve">3.3 What gets scored</w:t>
      </w:r>
      <w:bookmarkEnd w:id="20"/>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r>
        <w:rPr>
          <w:rFonts w:ascii="XCharter" w:hAnsi="XCharter" w:cs="XCharter" w:eastAsia="XCharter"/>
          <w:sz w:val="22"/>
        </w:rPr>
        <w:t xml:space="preserve"> </w:t>
      </w:r>
      <w:r>
        <w:rPr>
          <w:rFonts w:ascii="XCharter" w:hAnsi="XCharter" w:cs="XCharter" w:eastAsia="XCharter"/>
          <w:b/>
          <w:bCs/>
          <w:sz w:val="22"/>
        </w:rPr>
        <w:t xml:space="preserve">k calls ahead</w:t>
      </w:r>
      <w:r>
        <w:rPr>
          <w:rFonts w:ascii="XCharter" w:hAnsi="XCharter" w:cs="XCharter" w:eastAsia="XCharter"/>
          <w:sz w:val="22"/>
        </w:rPr>
        <w:t xml:space="preserve"> </w:t>
      </w:r>
      <w:r>
        <w:rPr>
          <w:rFonts w:ascii="XCharter" w:hAnsi="XCharter" w:cs="XCharter" w:eastAsia="XCharter"/>
          <w:sz w:val="22"/>
        </w:rPr>
        <w:t xml:space="preserve">marks the call k calls before that one, with the leaking call itself excluded.</w:t>
      </w:r>
    </w:p>
    <w:p>
      <w:pPr>
        <w:pStyle w:val="FirstParagraph"/>
        <w:widowControl/>
        <w:spacing w:after="0" w:line="259" w:lineRule="auto"/>
        <w:ind w:firstLine="0"/>
        <w:jc w:val="both"/>
      </w:pPr>
      <w:r>
        <w:rPr>
          <w:rFonts w:ascii="XCharter" w:hAnsi="XCharter" w:cs="XCharter" w:eastAsia="XCharter"/>
          <w:sz w:val="22"/>
        </w:rPr>
        <w:t xml:space="preserve">The outcome is the paper’s</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except for the gpt-oss-20b per-call label, which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w:t>
      </w:r>
      <w:r>
        <w:rPr>
          <w:rFonts w:ascii="XCharter" w:hAnsi="XCharter" w:cs="XCharter" w:eastAsia="XCharter"/>
          <w:sz w:val="22"/>
        </w:rPr>
        <w:t xml:space="preserve">of the value in the answer or tool arguments (143 of its 146 are tool-argument writes;</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The rules differ because gpt-oss-20b almost always writes the value to a file before it posts it, and its analysis ends at that first public emission, so only 3 of its scored calls are first channel posts; Qwen3-32B uses the paper’s give-in rule.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1" w:name="_detectors"/>
      <w:r>
        <w:rPr>
          <w:rFonts w:ascii="Old Standard TT" w:hAnsi="Old Standard TT"/>
          <w:b/>
          <w:sz w:val="26"/>
        </w:rPr>
        <w:t xml:space="preserve">3.4 Detectors</w:t>
      </w:r>
      <w:bookmarkEnd w:id="21"/>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w:t>
      </w:r>
      <w:r>
        <w:rPr>
          <w:rFonts w:ascii="XCharter" w:hAnsi="XCharter" w:cs="XCharter" w:eastAsia="XCharter"/>
          <w:sz w:val="22"/>
        </w:rPr>
        <w:t xml:space="preserve">(Jev 1.14</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options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is given the same conversation and tool results as the last-prompt probe and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targets in the same situation.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as the headline,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 Appendices E, H and L.</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saw the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Of 224 plain-peer recruiting episodes analysed for behaviour, Qwen3-32B gives in on 98 (44%; 36% to 63% across scenarios), and on 101 of the 241 scored episodes (42%; tactic arms included;</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control and target-alone episodes never give in (0 of 66 and 0 of 25). gpt-oss-20b gives in on 128 of 300 recruiting episodes,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6" w:name="_b697b01ca62393272adcf5507b059bf356c2261"/>
      <w:r>
        <w:rPr>
          <w:rFonts w:ascii="Old Standard TT" w:hAnsi="Old Standard TT"/>
          <w:b/>
          <w:sz w:val="26"/>
        </w:rPr>
        <w:t xml:space="preserve">4.2 Asked per call, a probe predicts which call will give in</w:t>
      </w:r>
      <w:bookmarkEnd w:id="26"/>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ranks the leaking call far above the others on held-out scenarios: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121 leaking), before the call generates any token. Jev given the same conversation, tool results and question scores lower on both models: 0.74 on Qwen3-32B (probe minus Jev +0.21 [0.17, 0.28]) and 0.27 on gpt-oss-20b (+0.64 [0.56, 0.71]), where it ranks leaking calls below the rest and flags nearly every pressured call (98% of leaking calls, 87% of held calls); reversed post hoc it would score 0.73, still below the probe (+0.18 [0.12, 0.23]). These results bound this judge, question and access, not what the text contains. On gpt-oss-20b, the reasoning probe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and with the alarm cutoff set for 5% of training-side control calls, then measured on held-out calls, it catches 85% of leaking calls against 56% for the last-prompt probe, at 4% against 2% of calls in held episodes; Jev reading the same reasoning scores 0.60, and on Qwen3-32B a fixed keyword rule on the latest incoming message 0.64. Frozen with its cutoff before 84 new gpt-oss-20b episodes were collected, the reasoning probe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on them (594 calls, 26 leaking), meeting its pre-stated criterion; it caught 14 of the 26 at 2.4% of held calls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3" title="" id="28" name="Picture"/>
            <a:graphic>
              <a:graphicData uri="http://schemas.openxmlformats.org/drawingml/2006/picture">
                <pic:pic>
                  <pic:nvPicPr>
                    <pic:cNvPr descr="figures/figure3_streaming.png" id="29" name="Picture"/>
                    <pic:cNvPicPr>
                      <a:picLocks noChangeArrowheads="1" noChangeAspect="1"/>
                    </pic:cNvPicPr>
                  </pic:nvPicPr>
                  <pic:blipFill>
                    <a:blip r:embed="rId27"/>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0"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gpt-oss-20b positives are any public emission (1,995 calls with reasoning, 121 positive); Qwen3-32B positives use the paper’s give-in rule (4,844 calls, 101 positive). The frozen row is the reasoning probe on 84 new episodes. Jev is given either the same conversation and tool results as the last-prompt probe (without earlier same-turn private reasoning) or the call’s reasoning. (b) The nearer the act, the easier to predict: matched ladders, the last-prompt probe refit at each horizon on the same calls (Qwen3-32B, give-in, 4,844 calls; gpt-oss-20b, any public emission, 1,995 calls). Levels are not comparable across the two models. Full caption and sources: Appendix L.6.</w:t>
      </w:r>
      <w:bookmarkEnd w:id="30"/>
    </w:p>
    <w:p>
      <w:pPr>
        <w:pStyle w:val="BodyText"/>
        <w:widowControl/>
        <w:spacing w:after="0" w:line="259" w:lineRule="auto"/>
        <w:ind w:firstLine="0"/>
        <w:jc w:val="both"/>
      </w:pPr>
      <w:r>
        <w:rPr>
          <w:rFonts w:ascii="XCharter" w:hAnsi="XCharter" w:cs="XCharter" w:eastAsia="XCharter"/>
          <w:sz w:val="22"/>
        </w:rPr>
        <w:t xml:space="preserve">The warning is about the call itself: one call earlier, the last-prompt probe scores 0.71 on Qwen3-32B and 0.62 on gpt-oss-20b. On gpt-oss-20b, retraining the paper’s last-prompt probe on the per-call label lifts it from 0.49 to 0.91, so the change of question does most of the work, and reading the reasoning adds a modest gain (+0.03 held-out, with an interval reaching zero; +0.07 pooled).</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b21dc55ab05074ea0fc7e23d7e979da2ff589df"/>
      <w:r>
        <w:rPr>
          <w:rFonts w:ascii="Old Standard TT" w:hAnsi="Old Standard TT"/>
          <w:b/>
          <w:sz w:val="26"/>
        </w:rPr>
        <w:t xml:space="preserve">4.3 The ranking survives the obvious shortcuts</w:t>
      </w:r>
      <w:bookmarkEnd w:id="31"/>
    </w:p>
    <w:p>
      <w:pPr>
        <w:pStyle w:val="FirstParagraph"/>
        <w:widowControl/>
        <w:spacing w:after="0" w:line="259" w:lineRule="auto"/>
        <w:ind w:firstLine="0"/>
        <w:jc w:val="both"/>
      </w:pPr>
      <w:r>
        <w:rPr>
          <w:rFonts w:ascii="XCharter" w:hAnsi="XCharter" w:cs="XCharter" w:eastAsia="XCharter"/>
          <w:i/>
          <w:iCs/>
          <w:sz w:val="22"/>
        </w:rPr>
        <w:t xml:space="preserve">Survives the pressure control:</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and on gpt-oss-20b a placebo on calls before the ask scores 0.46 to 0.49.</w:t>
      </w:r>
      <w:r>
        <w:rPr>
          <w:rFonts w:ascii="XCharter" w:hAnsi="XCharter" w:cs="XCharter" w:eastAsia="XCharter"/>
          <w:sz w:val="22"/>
        </w:rPr>
        <w:t xml:space="preserve"> </w:t>
      </w:r>
      <w:r>
        <w:rPr>
          <w:rFonts w:ascii="XCharter" w:hAnsi="XCharter" w:cs="XCharter" w:eastAsia="XCharter"/>
          <w:i/>
          <w:iCs/>
          <w:sz w:val="22"/>
        </w:rPr>
        <w:t xml:space="preserve">Survives the secret-string control:</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cutting the reasoning at the first mention leaves 0.96, and keyword rules score 0.40 to 0.48.</w:t>
      </w:r>
      <w:r>
        <w:rPr>
          <w:rFonts w:ascii="XCharter" w:hAnsi="XCharter" w:cs="XCharter" w:eastAsia="XCharter"/>
          <w:sz w:val="22"/>
        </w:rPr>
        <w:t xml:space="preserve"> </w:t>
      </w:r>
      <w:r>
        <w:rPr>
          <w:rFonts w:ascii="XCharter" w:hAnsi="XCharter" w:cs="XCharter" w:eastAsia="XCharter"/>
          <w:i/>
          <w:iCs/>
          <w:sz w:val="22"/>
        </w:rPr>
        <w:t xml:space="preserve">Not the read-step indicator alone:</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(intervals exclude zero); among calls right after the read they still score 0.93 on gpt-oss-20b and 0.79 on Qwen3-32B. On gpt-oss-20b, a probe on the incoming peer message and tool results alone also ranks well (0.93, one seed), so much of the signal is present when the call starts; what it represents is not established. Per-call alarms are not cheap: at the 5% control-call cutoff, 41% of held gpt-oss-20b episodes see at least one reasoning-probe alarm, and 11% of held Qwen3-32B calls alarm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887172a3e796cb0419e143a2a599ee2332deb2b"/>
      <w:r>
        <w:rPr>
          <w:rFonts w:ascii="Old Standard TT" w:hAnsi="Old Standard TT"/>
          <w:b/>
          <w:sz w:val="26"/>
        </w:rPr>
        <w:t xml:space="preserve">4.4 The further from the act, the less predictable</w:t>
      </w:r>
      <w:bookmarkEnd w:id="32"/>
    </w:p>
    <w:p>
      <w:pPr>
        <w:pStyle w:val="FirstParagraph"/>
        <w:widowControl/>
        <w:spacing w:after="0" w:line="259" w:lineRule="auto"/>
        <w:ind w:firstLine="0"/>
        <w:jc w:val="both"/>
      </w:pPr>
      <w:r>
        <w:rPr>
          <w:rFonts w:ascii="XCharter" w:hAnsi="XCharter" w:cs="XCharter" w:eastAsia="XCharter"/>
          <w:sz w:val="22"/>
        </w:rPr>
        <w:t xml:space="preserve">Refit on the same calls at each horizon, the last-prompt probe climbs from eventual to this round or the next to this call: 0.54 → 0.67 → 0.95 on Qwen3-32B (4,844 calls) and 0.61 → 0.64 → 0.91 on gpt-oss-20b (1,995 calls;</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b). These matched rungs are post hoc and include the give-in calls, so the Qwen3-32B near-term rung (0.67) sits above the paper’s 0.58 on pre-emission calls. Only the paper’s round-level results below were fixed in advance and confirmed on new episodes: predictability and rigour run in opposite directions.</w:t>
      </w:r>
    </w:p>
    <w:p>
      <w:pPr>
        <w:pStyle w:val="BodyText"/>
        <w:keepNext/>
        <w:widowControl/>
        <w:spacing w:before="0" w:after="0" w:line="240" w:lineRule="auto"/>
      </w:pPr>
      <w:r>
        <w:rPr>
          <w:rFonts w:ascii="Old Standard TT" w:hAnsi="Old Standard TT"/>
        </w:rPr>
        <w:drawing>
          <wp:inline>
            <wp:extent cx="5943600" cy="3237931"/>
            <wp:effectExtent b="0" l="0" r="0" t="0"/>
            <wp:docPr descr="Figure 2. Predicting eventual and near-term give-in" title="" id="34" name="Picture"/>
            <a:graphic>
              <a:graphicData uri="http://schemas.openxmlformats.org/drawingml/2006/picture">
                <pic:pic>
                  <pic:nvPicPr>
                    <pic:cNvPr descr="figures/figure2_prediction.png" id="35" name="Picture"/>
                    <pic:cNvPicPr>
                      <a:picLocks noChangeArrowheads="1" noChangeAspect="1"/>
                    </pic:cNvPicPr>
                  </pic:nvPicPr>
                  <pic:blipFill>
                    <a:blip r:embed="rId33"/>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6"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6"/>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0.579 and the best monitor, the Jev forecaster seeing everything the target saw, 0.650. On 89 new episodes collected after the plan was fixed and scored once (1,787 calls, 82 positives), the probe reached 0.68 and Jev 0.64, both clear of chance (Jev − probe −0.038 [−0.142, +0.059]). A separate probe that separates pressured from unpressured calls perfectly (AUROC 1.000) does not rank who gives in (0.44; first data batch;</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0.523, with an interval that includes chance, and the Jev forecaster 0.577 (998 eventual positives;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32 of its 128 channel give-ins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53a442ad08630cd2bdfad9b210d65fb18fbeef1"/>
      <w:r>
        <w:rPr>
          <w:rFonts w:ascii="Old Standard TT" w:hAnsi="Old Standard TT"/>
          <w:b/>
          <w:sz w:val="26"/>
        </w:rPr>
        <w:t xml:space="preserve">4.5 What a round-level monitor should ask and see</w:t>
      </w:r>
      <w:bookmarkEnd w:id="37"/>
    </w:p>
    <w:p>
      <w:pPr>
        <w:pStyle w:val="FirstParagraph"/>
        <w:widowControl/>
        <w:spacing w:after="0" w:line="259" w:lineRule="auto"/>
        <w:ind w:firstLine="0"/>
        <w:jc w:val="both"/>
      </w:pPr>
      <w:r>
        <w:rPr>
          <w:rFonts w:ascii="XCharter" w:hAnsi="XCharter" w:cs="XCharter" w:eastAsia="XCharter"/>
          <w:sz w:val="22"/>
        </w:rPr>
        <w:t xml:space="preserve">Asked to forecast, Jev scores 0.650 on the near-term label; asked to detect, 0.578. On the first data batch, showing the Jev forecaster the peer’s messages on top of the target’s actions raises its score by 0.123 [0.063, 0.176], while adding everything else the target saw adds only 0.025 [-0.004, 0.054]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helps only the weaker monitor: GPT-5-nano gains +0.081 pooled and +0.113 on the new episodes, but +0.022 held-out (not significant), and Jev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8" w:name="_cbd875682116f3153fa9a8f9c77c00f8b5fdab1"/>
      <w:r>
        <w:rPr>
          <w:rFonts w:ascii="Old Standard TT" w:hAnsi="Old Standard TT"/>
          <w:b/>
          <w:sz w:val="28"/>
        </w:rPr>
        <w:t xml:space="preserve">5. Discussion and Limitations</w:t>
      </w:r>
      <w:bookmarkEnd w:id="38"/>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 Each rung is a different point to intervene, from flagging an episode early to holding one call.</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itself is the first defence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and an exact-string output filter would also catch our leaks. A tool-call blocker alone would not: 127 of gpt-oss-20b’s 128 channel give-ins and 48 of Qwen3-32B’s 98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Qwen3-32B per-call probe scores 0.92 on give-ins in plain text, not only 0.98 on tool arguments. A pre-generation warning also allows softer interventions (pause, escalate, ask a human), and values can be paraphrased or encoded where no string matches; this setup does not test such leaks.</w:t>
      </w:r>
    </w:p>
    <w:p>
      <w:pPr>
        <w:pStyle w:val="BodyText"/>
        <w:widowControl/>
        <w:spacing w:after="0" w:line="259" w:lineRule="auto"/>
        <w:ind w:firstLine="360"/>
        <w:jc w:val="both"/>
      </w:pPr>
      <w:r>
        <w:rPr>
          <w:rFonts w:ascii="XCharter" w:hAnsi="XCharter" w:cs="XCharter" w:eastAsia="XCharter"/>
          <w:b/>
          <w:bCs/>
          <w:sz w:val="22"/>
        </w:rPr>
        <w:t xml:space="preserve">As alarms, the detectors are costly or weak:</w:t>
      </w:r>
      <w:r>
        <w:rPr>
          <w:rFonts w:ascii="XCharter" w:hAnsi="XCharter" w:cs="XCharter" w:eastAsia="XCharter"/>
          <w:sz w:val="22"/>
        </w:rPr>
        <w:t xml:space="preserve"> </w:t>
      </w:r>
      <w:r>
        <w:rPr>
          <w:rFonts w:ascii="XCharter" w:hAnsi="XCharter" w:cs="XCharter" w:eastAsia="XCharter"/>
          <w:sz w:val="22"/>
        </w:rPr>
        <w:t xml:space="preserve">per-call probes alarm in many held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and at the round level, at a 5% false-alarm cutoff set on held episodes, the best catches 10 of 101 give-ins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and give it the other agent’s messages. Score per call, close to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limitations"/>
      <w:r>
        <w:rPr>
          <w:rFonts w:ascii="Old Standard TT" w:hAnsi="Old Standard TT"/>
          <w:b/>
          <w:sz w:val="26"/>
        </w:rPr>
        <w:t xml:space="preserve">Limitations</w:t>
      </w:r>
      <w:bookmarkEnd w:id="39"/>
    </w:p>
    <w:p>
      <w:pPr>
        <w:pStyle w:val="FirstParagraph"/>
        <w:widowControl/>
        <w:spacing w:after="0" w:line="259" w:lineRule="auto"/>
        <w:ind w:firstLine="0"/>
        <w:jc w:val="both"/>
      </w:pPr>
      <w:r>
        <w:rPr>
          <w:rFonts w:ascii="XCharter" w:hAnsi="XCharter" w:cs="XCharter" w:eastAsia="XCharter"/>
          <w:sz w:val="22"/>
        </w:rPr>
        <w:t xml:space="preserve">Two target models on six scenarios from one task template. The per-call last-prompt results are post hoc and unconfirmed; only the gpt-oss-20b reasoning probe was confirmed, on 26 leaking calls. The warning is about the current call, not calls or rounds ahead. Semantic or long-horizon collusion has no exact-string cut point.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40" w:name="_32691ce30b0dd97ec3690ce7d97c5c9a26aa3b1"/>
      <w:r>
        <w:rPr>
          <w:rFonts w:ascii="Old Standard TT" w:hAnsi="Old Standard TT"/>
          <w:b/>
          <w:sz w:val="26"/>
        </w:rPr>
        <w:t xml:space="preserve">Future Work</w:t>
      </w:r>
      <w:bookmarkEnd w:id="40"/>
    </w:p>
    <w:p>
      <w:pPr>
        <w:pStyle w:val="FirstParagraph"/>
        <w:widowControl/>
        <w:spacing w:after="0" w:line="259" w:lineRule="auto"/>
        <w:ind w:firstLine="0"/>
        <w:jc w:val="both"/>
      </w:pPr>
      <w:r>
        <w:rPr>
          <w:rFonts w:ascii="XCharter" w:hAnsi="XCharter" w:cs="XCharter" w:eastAsia="XCharter"/>
          <w:sz w:val="22"/>
        </w:rPr>
        <w:t xml:space="preserve">Next steps are to score per-call probes in group settings, with several peers and recruited agents that recruit others, as in the 2026 incident or through shared memory</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conclusion"/>
      <w:r>
        <w:rPr>
          <w:rFonts w:ascii="Old Standard TT" w:hAnsi="Old Standard TT"/>
          <w:b/>
          <w:sz w:val="28"/>
        </w:rPr>
        <w:t xml:space="preserve">6. Conclusion</w:t>
      </w:r>
      <w:bookmarkEnd w:id="41"/>
    </w:p>
    <w:p>
      <w:pPr>
        <w:pStyle w:val="FirstParagraph"/>
        <w:widowControl/>
        <w:spacing w:after="0" w:line="259" w:lineRule="auto"/>
        <w:ind w:firstLine="0"/>
        <w:jc w:val="both"/>
      </w:pPr>
      <w:r>
        <w:rPr>
          <w:rFonts w:ascii="XCharter" w:hAnsi="XCharter" w:cs="XCharter" w:eastAsia="XCharter"/>
          <w:sz w:val="22"/>
        </w:rPr>
        <w:t xml:space="preserve">We asked whether an agent’s give-in to a recruiting peer can be seen before it happens. Asked per call, it can: a linear probe on the target’s activations predicts which call will give in, on two models, above an LLM judge reading the same input, and a probe on the streaming reasoning held on new episodes. Further from the act the signal fades, to modest for this round or the next and barely for the eventual outcome. The warning therefore comes late, at the call itself, which is still before the value leaks and before the recruitment spreads to further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2" w:name="_1f6b0a6dd8de899b0bf2d89a88c0574c2ef490f"/>
      <w:r>
        <w:rPr>
          <w:rFonts w:ascii="Old Standard TT" w:hAnsi="Old Standard TT"/>
          <w:b/>
          <w:sz w:val="28"/>
        </w:rPr>
        <w:t xml:space="preserve">Code and Data</w:t>
      </w:r>
      <w:bookmarkEnd w:id="42"/>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commit</w:t>
      </w:r>
      <w:r>
        <w:rPr>
          <w:rFonts w:ascii="XCharter" w:hAnsi="XCharter" w:cs="XCharter" w:eastAsia="XCharter"/>
          <w:sz w:val="22"/>
        </w:rPr>
        <w:t xml:space="preserve"> </w:t>
      </w:r>
      <w:r>
        <w:rPr>
          <w:rStyle w:val="VerbatimChar"/>
          <w:rFonts w:ascii="XCharter" w:hAnsi="XCharter" w:cs="XCharter" w:eastAsia="XCharter"/>
          <w:sz w:val="22"/>
        </w:rPr>
        <w:t xml:space="preserve">a5bd6f93</w:t>
      </w:r>
      <w:r>
        <w:rPr>
          <w:rFonts w:ascii="XCharter" w:hAnsi="XCharter" w:cs="XCharter" w:eastAsia="XCharter"/>
          <w:sz w:val="22"/>
        </w:rPr>
        <w:t xml:space="preserve"> </w:t>
      </w:r>
      <w:r>
        <w:rPr>
          <w:rFonts w:ascii="XCharter" w:hAnsi="XCharter" w:cs="XCharter" w:eastAsia="XCharter"/>
          <w:sz w:val="22"/>
        </w:rPr>
        <w:t xml:space="preserve">(planning,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3" w:name="_references"/>
      <w:r>
        <w:rPr>
          <w:rFonts w:ascii="Old Standard TT" w:hAnsi="Old Standard TT"/>
          <w:b/>
          <w:sz w:val="28"/>
        </w:rPr>
        <w:t xml:space="preserve">References</w:t>
      </w:r>
      <w:bookmarkEnd w:id="43"/>
    </w:p>
    <w:bookmarkStart w:id="136" w:name="_refs"/>
    <w:p>
      <w:pPr>
        <w:pStyle w:val="Bibliography"/>
        <w:widowControl/>
        <w:spacing w:line="259" w:lineRule="auto" w:after="80"/>
        <w:ind w:left="360" w:hanging="360"/>
        <w:jc w:val="left"/>
      </w:pPr>
      <w:bookmarkStart w:id="45"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https://www.alphaxiv.org/abs/2610.frozen-states-future-action-prediction</w:t>
        </w:r>
      </w:hyperlink>
      <w:bookmarkEnd w:id="45"/>
    </w:p>
    <w:p>
      <w:pPr>
        <w:pStyle w:val="Bibliography"/>
        <w:widowControl/>
        <w:spacing w:line="259" w:lineRule="auto" w:after="80"/>
        <w:ind w:left="360" w:hanging="360"/>
        <w:jc w:val="left"/>
      </w:pPr>
      <w:bookmarkStart w:id="47"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https://arxiv.org/abs/2507.01413</w:t>
        </w:r>
      </w:hyperlink>
      <w:bookmarkEnd w:id="47"/>
    </w:p>
    <w:p>
      <w:pPr>
        <w:pStyle w:val="Bibliography"/>
        <w:widowControl/>
        <w:spacing w:line="259" w:lineRule="auto" w:after="80"/>
        <w:ind w:left="360" w:hanging="360"/>
        <w:jc w:val="left"/>
      </w:pPr>
      <w:bookmarkStart w:id="49"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https://typesafe.ai/blog/introducing-system-one-models-and-jev</w:t>
        </w:r>
      </w:hyperlink>
      <w:bookmarkEnd w:id="49"/>
    </w:p>
    <w:p>
      <w:pPr>
        <w:pStyle w:val="Bibliography"/>
        <w:widowControl/>
        <w:spacing w:line="259" w:lineRule="auto" w:after="80"/>
        <w:ind w:left="360" w:hanging="360"/>
        <w:jc w:val="left"/>
      </w:pPr>
      <w:bookmarkStart w:id="51"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https://arxiv.org/abs/2601.21112</w:t>
        </w:r>
      </w:hyperlink>
      <w:bookmarkEnd w:id="51"/>
    </w:p>
    <w:p>
      <w:pPr>
        <w:pStyle w:val="Bibliography"/>
        <w:widowControl/>
        <w:spacing w:line="259" w:lineRule="auto" w:after="80"/>
        <w:ind w:left="360" w:hanging="360"/>
        <w:jc w:val="left"/>
      </w:pPr>
      <w:bookmarkStart w:id="53"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https://arxiv.org/abs/2502.13329</w:t>
        </w:r>
      </w:hyperlink>
      <w:bookmarkEnd w:id="53"/>
    </w:p>
    <w:p>
      <w:pPr>
        <w:pStyle w:val="Bibliography"/>
        <w:widowControl/>
        <w:spacing w:line="259" w:lineRule="auto" w:after="80"/>
        <w:ind w:left="360" w:hanging="360"/>
        <w:jc w:val="left"/>
      </w:pPr>
      <w:bookmarkStart w:id="55"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https://arxiv.org/abs/2512.03097</w:t>
        </w:r>
      </w:hyperlink>
      <w:bookmarkEnd w:id="55"/>
    </w:p>
    <w:p>
      <w:pPr>
        <w:pStyle w:val="Bibliography"/>
        <w:widowControl/>
        <w:spacing w:line="259" w:lineRule="auto" w:after="80"/>
        <w:ind w:left="360" w:hanging="360"/>
        <w:jc w:val="left"/>
      </w:pPr>
      <w:bookmarkStart w:id="57"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https://doi.org/10.1145/3786335.3813181</w:t>
        </w:r>
      </w:hyperlink>
      <w:bookmarkEnd w:id="57"/>
    </w:p>
    <w:p>
      <w:pPr>
        <w:pStyle w:val="Bibliography"/>
        <w:widowControl/>
        <w:spacing w:line="259" w:lineRule="auto" w:after="80"/>
        <w:ind w:left="360" w:hanging="360"/>
        <w:jc w:val="left"/>
      </w:pPr>
      <w:bookmarkStart w:id="59"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https://arxiv.org/abs/2601.04603</w:t>
        </w:r>
      </w:hyperlink>
      <w:bookmarkEnd w:id="59"/>
    </w:p>
    <w:p>
      <w:pPr>
        <w:pStyle w:val="Bibliography"/>
        <w:widowControl/>
        <w:spacing w:line="259" w:lineRule="auto" w:after="80"/>
        <w:ind w:left="360" w:hanging="360"/>
        <w:jc w:val="left"/>
      </w:pPr>
      <w:bookmarkStart w:id="61"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https://arxiv.org/abs/2406.13352</w:t>
        </w:r>
      </w:hyperlink>
      <w:bookmarkEnd w:id="61"/>
    </w:p>
    <w:p>
      <w:pPr>
        <w:pStyle w:val="Bibliography"/>
        <w:widowControl/>
        <w:spacing w:line="259" w:lineRule="auto" w:after="80"/>
        <w:ind w:left="360" w:hanging="360"/>
        <w:jc w:val="left"/>
      </w:pPr>
      <w:bookmarkStart w:id="63"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https://openrouter.ai/deepseek/deepseek-v4-flash</w:t>
        </w:r>
      </w:hyperlink>
      <w:bookmarkEnd w:id="63"/>
    </w:p>
    <w:p>
      <w:pPr>
        <w:pStyle w:val="Bibliography"/>
        <w:widowControl/>
        <w:spacing w:line="259" w:lineRule="auto" w:after="80"/>
        <w:ind w:left="360" w:hanging="360"/>
        <w:jc w:val="left"/>
      </w:pPr>
      <w:bookmarkStart w:id="65"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https://arxiv.org/abs/2608.02657</w:t>
        </w:r>
      </w:hyperlink>
      <w:bookmarkEnd w:id="65"/>
    </w:p>
    <w:p>
      <w:pPr>
        <w:pStyle w:val="Bibliography"/>
        <w:widowControl/>
        <w:spacing w:line="259" w:lineRule="auto" w:after="80"/>
        <w:ind w:left="360" w:hanging="360"/>
        <w:jc w:val="left"/>
      </w:pPr>
      <w:bookmarkStart w:id="67"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https://arxiv.org/abs/2610.17301</w:t>
        </w:r>
      </w:hyperlink>
      <w:bookmarkEnd w:id="67"/>
    </w:p>
    <w:p>
      <w:pPr>
        <w:pStyle w:val="Bibliography"/>
        <w:widowControl/>
        <w:spacing w:line="259" w:lineRule="auto" w:after="80"/>
        <w:ind w:left="360" w:hanging="360"/>
        <w:jc w:val="left"/>
      </w:pPr>
      <w:bookmarkStart w:id="69"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https://arxiv.org/abs/2404.00806</w:t>
        </w:r>
      </w:hyperlink>
      <w:bookmarkEnd w:id="69"/>
    </w:p>
    <w:p>
      <w:pPr>
        <w:pStyle w:val="Bibliography"/>
        <w:widowControl/>
        <w:spacing w:line="259" w:lineRule="auto" w:after="80"/>
        <w:ind w:left="360" w:hanging="360"/>
        <w:jc w:val="left"/>
      </w:pPr>
      <w:bookmarkStart w:id="71"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https://arxiv.org/abs/2606.30449</w:t>
        </w:r>
      </w:hyperlink>
      <w:bookmarkEnd w:id="71"/>
    </w:p>
    <w:p>
      <w:pPr>
        <w:pStyle w:val="Bibliography"/>
        <w:widowControl/>
        <w:spacing w:line="259" w:lineRule="auto" w:after="80"/>
        <w:ind w:left="360" w:hanging="360"/>
        <w:jc w:val="left"/>
      </w:pPr>
      <w:bookmarkStart w:id="73"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https://arxiv.org/abs/2610.04575</w:t>
        </w:r>
      </w:hyperlink>
      <w:bookmarkEnd w:id="73"/>
    </w:p>
    <w:p>
      <w:pPr>
        <w:pStyle w:val="Bibliography"/>
        <w:widowControl/>
        <w:spacing w:line="259" w:lineRule="auto" w:after="80"/>
        <w:ind w:left="360" w:hanging="360"/>
        <w:jc w:val="left"/>
      </w:pPr>
      <w:bookmarkStart w:id="75"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https://arxiv.org/abs/2502.03407</w:t>
        </w:r>
      </w:hyperlink>
      <w:bookmarkEnd w:id="75"/>
    </w:p>
    <w:p>
      <w:pPr>
        <w:pStyle w:val="Bibliography"/>
        <w:widowControl/>
        <w:spacing w:line="259" w:lineRule="auto" w:after="80"/>
        <w:ind w:left="360" w:hanging="360"/>
        <w:jc w:val="left"/>
      </w:pPr>
      <w:bookmarkStart w:id="77"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7"/>
    </w:p>
    <w:p>
      <w:pPr>
        <w:pStyle w:val="Bibliography"/>
        <w:widowControl/>
        <w:spacing w:line="259" w:lineRule="auto" w:after="80"/>
        <w:ind w:left="360" w:hanging="360"/>
        <w:jc w:val="left"/>
      </w:pPr>
      <w:bookmarkStart w:id="79"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https://github.com/UKGovernmentBEIS/control-arena</w:t>
        </w:r>
      </w:hyperlink>
      <w:bookmarkEnd w:id="79"/>
    </w:p>
    <w:p>
      <w:pPr>
        <w:pStyle w:val="Bibliography"/>
        <w:widowControl/>
        <w:spacing w:line="259" w:lineRule="auto" w:after="80"/>
        <w:ind w:left="360" w:hanging="360"/>
        <w:jc w:val="left"/>
      </w:pPr>
      <w:bookmarkStart w:id="81"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https://arxiv.org/abs/2411.03343</w:t>
        </w:r>
      </w:hyperlink>
      <w:bookmarkEnd w:id="81"/>
    </w:p>
    <w:p>
      <w:pPr>
        <w:pStyle w:val="Bibliography"/>
        <w:widowControl/>
        <w:spacing w:line="259" w:lineRule="auto" w:after="80"/>
        <w:ind w:left="360" w:hanging="360"/>
        <w:jc w:val="left"/>
      </w:pPr>
      <w:bookmarkStart w:id="83"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https://arxiv.org/abs/2606.11172</w:t>
        </w:r>
      </w:hyperlink>
      <w:bookmarkEnd w:id="83"/>
    </w:p>
    <w:p>
      <w:pPr>
        <w:pStyle w:val="Bibliography"/>
        <w:widowControl/>
        <w:spacing w:line="259" w:lineRule="auto" w:after="80"/>
        <w:ind w:left="360" w:hanging="360"/>
        <w:jc w:val="left"/>
      </w:pPr>
      <w:bookmarkStart w:id="85"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https://arxiv.org/abs/2601.11516</w:t>
        </w:r>
      </w:hyperlink>
      <w:bookmarkEnd w:id="85"/>
    </w:p>
    <w:p>
      <w:pPr>
        <w:pStyle w:val="Bibliography"/>
        <w:widowControl/>
        <w:spacing w:line="259" w:lineRule="auto" w:after="80"/>
        <w:ind w:left="360" w:hanging="360"/>
        <w:jc w:val="left"/>
      </w:pPr>
      <w:bookmarkStart w:id="87"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https://arxiv.org/abs/2410.00031</w:t>
        </w:r>
      </w:hyperlink>
      <w:bookmarkEnd w:id="87"/>
    </w:p>
    <w:p>
      <w:pPr>
        <w:pStyle w:val="Bibliography"/>
        <w:widowControl/>
        <w:spacing w:line="259" w:lineRule="auto" w:after="80"/>
        <w:ind w:left="360" w:hanging="360"/>
        <w:jc w:val="left"/>
      </w:pPr>
      <w:bookmarkStart w:id="89"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https://www.usenix.org/conference/usenixsecurity24/presentation/liu-yupei</w:t>
        </w:r>
      </w:hyperlink>
      <w:bookmarkEnd w:id="89"/>
    </w:p>
    <w:p>
      <w:pPr>
        <w:pStyle w:val="Bibliography"/>
        <w:widowControl/>
        <w:spacing w:line="259" w:lineRule="auto" w:after="80"/>
        <w:ind w:left="360" w:hanging="360"/>
        <w:jc w:val="left"/>
      </w:pPr>
      <w:bookmarkStart w:id="91"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https://www.anthropic.com/news/probes-catch-sleeper-agents</w:t>
        </w:r>
      </w:hyperlink>
      <w:bookmarkEnd w:id="91"/>
    </w:p>
    <w:p>
      <w:pPr>
        <w:pStyle w:val="Bibliography"/>
        <w:widowControl/>
        <w:spacing w:line="259" w:lineRule="auto" w:after="80"/>
        <w:ind w:left="360" w:hanging="360"/>
        <w:jc w:val="left"/>
      </w:pPr>
      <w:bookmarkStart w:id="93"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https://arxiv.org/abs/2506.10805</w:t>
        </w:r>
      </w:hyperlink>
      <w:bookmarkEnd w:id="93"/>
    </w:p>
    <w:p>
      <w:pPr>
        <w:pStyle w:val="Bibliography"/>
        <w:widowControl/>
        <w:spacing w:line="259" w:lineRule="auto" w:after="80"/>
        <w:ind w:left="360" w:hanging="360"/>
        <w:jc w:val="left"/>
      </w:pPr>
      <w:bookmarkStart w:id="95"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https://arxiv.org/abs/2602.15198</w:t>
        </w:r>
      </w:hyperlink>
      <w:bookmarkEnd w:id="95"/>
    </w:p>
    <w:p>
      <w:pPr>
        <w:pStyle w:val="Bibliography"/>
        <w:widowControl/>
        <w:spacing w:line="259" w:lineRule="auto" w:after="80"/>
        <w:ind w:left="360" w:hanging="360"/>
        <w:jc w:val="left"/>
      </w:pPr>
      <w:bookmarkStart w:id="97"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https://platform.openai.com/docs/models/gpt-5-nano</w:t>
        </w:r>
      </w:hyperlink>
      <w:bookmarkEnd w:id="97"/>
    </w:p>
    <w:p>
      <w:pPr>
        <w:pStyle w:val="Bibliography"/>
        <w:widowControl/>
        <w:spacing w:line="259" w:lineRule="auto" w:after="80"/>
        <w:ind w:left="360" w:hanging="360"/>
        <w:jc w:val="left"/>
      </w:pPr>
      <w:bookmarkStart w:id="99"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https://arxiv.org/abs/2508.10925</w:t>
        </w:r>
      </w:hyperlink>
      <w:bookmarkEnd w:id="99"/>
    </w:p>
    <w:p>
      <w:pPr>
        <w:pStyle w:val="Bibliography"/>
        <w:widowControl/>
        <w:spacing w:line="259" w:lineRule="auto" w:after="80"/>
        <w:ind w:left="360" w:hanging="360"/>
        <w:jc w:val="left"/>
      </w:pPr>
      <w:bookmarkStart w:id="101"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https://huggingface.co/openai/gpt-oss-20b</w:t>
        </w:r>
      </w:hyperlink>
      <w:bookmarkEnd w:id="101"/>
    </w:p>
    <w:p>
      <w:pPr>
        <w:pStyle w:val="Bibliography"/>
        <w:widowControl/>
        <w:spacing w:line="259" w:lineRule="auto" w:after="80"/>
        <w:ind w:left="360" w:hanging="360"/>
        <w:jc w:val="left"/>
      </w:pPr>
      <w:bookmarkStart w:id="103"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https://openrouter.ai/openai/gpt-6-luna-decisions</w:t>
        </w:r>
      </w:hyperlink>
      <w:bookmarkEnd w:id="103"/>
    </w:p>
    <w:p>
      <w:pPr>
        <w:pStyle w:val="Bibliography"/>
        <w:widowControl/>
        <w:spacing w:line="259" w:lineRule="auto" w:after="80"/>
        <w:ind w:left="360" w:hanging="360"/>
        <w:jc w:val="left"/>
      </w:pPr>
      <w:bookmarkStart w:id="105"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5"/>
    </w:p>
    <w:p>
      <w:pPr>
        <w:pStyle w:val="Bibliography"/>
        <w:widowControl/>
        <w:spacing w:line="259" w:lineRule="auto" w:after="80"/>
        <w:ind w:left="360" w:hanging="360"/>
        <w:jc w:val="left"/>
      </w:pPr>
      <w:bookmarkStart w:id="107"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https://arxiv.org/abs/2609.35576</w:t>
        </w:r>
      </w:hyperlink>
      <w:bookmarkEnd w:id="107"/>
    </w:p>
    <w:p>
      <w:pPr>
        <w:pStyle w:val="Bibliography"/>
        <w:widowControl/>
        <w:spacing w:line="259" w:lineRule="auto" w:after="80"/>
        <w:ind w:left="360" w:hanging="360"/>
        <w:jc w:val="left"/>
      </w:pPr>
      <w:bookmarkStart w:id="109"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https://huggingface.co/Qwen/Qwen3-32B</w:t>
        </w:r>
      </w:hyperlink>
      <w:bookmarkEnd w:id="109"/>
    </w:p>
    <w:p>
      <w:pPr>
        <w:pStyle w:val="Bibliography"/>
        <w:widowControl/>
        <w:spacing w:line="259" w:lineRule="auto" w:after="80"/>
        <w:ind w:left="360" w:hanging="360"/>
        <w:jc w:val="left"/>
      </w:pPr>
      <w:bookmarkStart w:id="111"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https://arxiv.org/abs/2605.29178</w:t>
        </w:r>
      </w:hyperlink>
      <w:bookmarkEnd w:id="111"/>
    </w:p>
    <w:p>
      <w:pPr>
        <w:pStyle w:val="Bibliography"/>
        <w:widowControl/>
        <w:spacing w:line="259" w:lineRule="auto" w:after="80"/>
        <w:ind w:left="360" w:hanging="360"/>
        <w:jc w:val="left"/>
      </w:pPr>
      <w:bookmarkStart w:id="113"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https://arxiv.org/abs/2604.01151</w:t>
        </w:r>
      </w:hyperlink>
      <w:bookmarkEnd w:id="113"/>
    </w:p>
    <w:p>
      <w:pPr>
        <w:pStyle w:val="Bibliography"/>
        <w:widowControl/>
        <w:spacing w:line="259" w:lineRule="auto" w:after="80"/>
        <w:ind w:left="360" w:hanging="360"/>
        <w:jc w:val="left"/>
      </w:pPr>
      <w:bookmarkStart w:id="115"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https://arxiv.org/abs/2607.06503</w:t>
        </w:r>
      </w:hyperlink>
      <w:bookmarkEnd w:id="115"/>
    </w:p>
    <w:p>
      <w:pPr>
        <w:pStyle w:val="Bibliography"/>
        <w:widowControl/>
        <w:spacing w:line="259" w:lineRule="auto" w:after="80"/>
        <w:ind w:left="360" w:hanging="360"/>
        <w:jc w:val="left"/>
      </w:pPr>
      <w:bookmarkStart w:id="117"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https://github.com/soham-padia/pre-sycophancy-study</w:t>
        </w:r>
      </w:hyperlink>
      <w:bookmarkEnd w:id="117"/>
    </w:p>
    <w:p>
      <w:pPr>
        <w:pStyle w:val="Bibliography"/>
        <w:widowControl/>
        <w:spacing w:line="259" w:lineRule="auto" w:after="80"/>
        <w:ind w:left="360" w:hanging="360"/>
        <w:jc w:val="left"/>
      </w:pPr>
      <w:bookmarkStart w:id="119"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https://arxiv.org/abs/2501.18837</w:t>
        </w:r>
      </w:hyperlink>
      <w:bookmarkEnd w:id="119"/>
    </w:p>
    <w:p>
      <w:pPr>
        <w:pStyle w:val="Bibliography"/>
        <w:widowControl/>
        <w:spacing w:line="259" w:lineRule="auto" w:after="80"/>
        <w:ind w:left="360" w:hanging="360"/>
        <w:jc w:val="left"/>
      </w:pPr>
      <w:bookmarkStart w:id="121"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https://arxiv.org/abs/2607.05132</w:t>
        </w:r>
      </w:hyperlink>
      <w:bookmarkEnd w:id="121"/>
    </w:p>
    <w:p>
      <w:pPr>
        <w:pStyle w:val="Bibliography"/>
        <w:widowControl/>
        <w:spacing w:line="259" w:lineRule="auto" w:after="80"/>
        <w:ind w:left="360" w:hanging="360"/>
        <w:jc w:val="left"/>
      </w:pPr>
      <w:bookmarkStart w:id="123"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https://arxiv.org/abs/2609.24967</w:t>
        </w:r>
      </w:hyperlink>
      <w:bookmarkEnd w:id="123"/>
    </w:p>
    <w:p>
      <w:pPr>
        <w:pStyle w:val="Bibliography"/>
        <w:widowControl/>
        <w:spacing w:line="259" w:lineRule="auto" w:after="80"/>
        <w:ind w:left="360" w:hanging="360"/>
        <w:jc w:val="left"/>
      </w:pPr>
      <w:bookmarkStart w:id="125"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https://arxiv.org/abs/2609.09090</w:t>
        </w:r>
      </w:hyperlink>
      <w:bookmarkEnd w:id="125"/>
    </w:p>
    <w:p>
      <w:pPr>
        <w:pStyle w:val="Bibliography"/>
        <w:widowControl/>
        <w:spacing w:line="259" w:lineRule="auto" w:after="80"/>
        <w:ind w:left="360" w:hanging="360"/>
        <w:jc w:val="left"/>
      </w:pPr>
      <w:bookmarkStart w:id="127"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https://arxiv.org/abs/2603.13940</w:t>
        </w:r>
      </w:hyperlink>
      <w:bookmarkEnd w:id="127"/>
    </w:p>
    <w:p>
      <w:pPr>
        <w:pStyle w:val="Bibliography"/>
        <w:widowControl/>
        <w:spacing w:line="259" w:lineRule="auto" w:after="80"/>
        <w:ind w:left="360" w:hanging="360"/>
        <w:jc w:val="left"/>
      </w:pPr>
      <w:bookmarkStart w:id="129"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https://arxiv.org/abs/2604.16824</w:t>
        </w:r>
      </w:hyperlink>
      <w:bookmarkEnd w:id="129"/>
    </w:p>
    <w:p>
      <w:pPr>
        <w:pStyle w:val="Bibliography"/>
        <w:widowControl/>
        <w:spacing w:line="259" w:lineRule="auto" w:after="80"/>
        <w:ind w:left="360" w:hanging="360"/>
        <w:jc w:val="left"/>
      </w:pPr>
      <w:bookmarkStart w:id="131"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0">
        <w:r>
          <w:rPr>
            <w:rStyle w:val="Hyperlink"/>
            <w:rFonts w:ascii="XCharter" w:hAnsi="XCharter" w:cs="XCharter" w:eastAsia="XCharter"/>
            <w:color w:val="000080"/>
            <w:sz w:val="22"/>
            <w:u w:val="none"/>
          </w:rPr>
          <w:t xml:space="preserve">https://arxiv.org/abs/2505.09388</w:t>
        </w:r>
      </w:hyperlink>
      <w:bookmarkEnd w:id="131"/>
    </w:p>
    <w:p>
      <w:pPr>
        <w:pStyle w:val="Bibliography"/>
        <w:widowControl/>
        <w:spacing w:line="259" w:lineRule="auto" w:after="80"/>
        <w:ind w:left="360" w:hanging="360"/>
        <w:jc w:val="left"/>
      </w:pPr>
      <w:bookmarkStart w:id="133"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2">
        <w:r>
          <w:rPr>
            <w:rStyle w:val="Hyperlink"/>
            <w:rFonts w:ascii="XCharter" w:hAnsi="XCharter" w:cs="XCharter" w:eastAsia="XCharter"/>
            <w:color w:val="000080"/>
            <w:sz w:val="22"/>
            <w:u w:val="none"/>
          </w:rPr>
          <w:t xml:space="preserve">https://arxiv.org/abs/2610.05295</w:t>
        </w:r>
      </w:hyperlink>
      <w:bookmarkEnd w:id="133"/>
    </w:p>
    <w:p>
      <w:pPr>
        <w:pStyle w:val="Bibliography"/>
        <w:widowControl/>
        <w:spacing w:line="259" w:lineRule="auto" w:after="80"/>
        <w:ind w:left="360" w:hanging="360"/>
        <w:jc w:val="left"/>
      </w:pPr>
      <w:bookmarkStart w:id="135"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4">
        <w:r>
          <w:rPr>
            <w:rStyle w:val="Hyperlink"/>
            <w:rFonts w:ascii="XCharter" w:hAnsi="XCharter" w:cs="XCharter" w:eastAsia="XCharter"/>
            <w:color w:val="000080"/>
            <w:sz w:val="22"/>
            <w:u w:val="none"/>
          </w:rPr>
          <w:t xml:space="preserve">https://arxiv.org/abs/2605.27593</w:t>
        </w:r>
      </w:hyperlink>
      <w:bookmarkEnd w:id="135"/>
    </w:p>
    <w:bookmarkEnd w:id="136"/>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7" w:name="_appendix"/>
      <w:r>
        <w:rPr>
          <w:rFonts w:ascii="Old Standard TT" w:hAnsi="Old Standard TT"/>
          <w:b/>
          <w:sz w:val="28"/>
        </w:rPr>
        <w:t xml:space="preserve">Appendix</w:t>
      </w:r>
      <w:bookmarkEnd w:id="137"/>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d863e5dd50f3a2c5a9f9d67c38d6db1a7983c65"/>
      <w:r>
        <w:rPr>
          <w:rFonts w:ascii="Old Standard TT" w:hAnsi="Old Standard TT"/>
          <w:b/>
          <w:sz w:val="26"/>
        </w:rPr>
        <w:t xml:space="preserve">A. Limitations and Dual-Use / Ethical Considerations</w:t>
      </w:r>
      <w:bookmarkEnd w:id="138"/>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It establishes that, for Qwen3-32B in six synthetic scenarios built from one task template, whether the target gives in this round or the next is modestly predictable from one call, by a text monitor asked to forecast and, less well, by an activation probe, and that this held on new episodes scored under a plan fixed in advance. It does not establish that eventual give-in can be predicted, that the signals transfer to other models (on gpt-oss-20b they do not), that the detectors would work as deployed alarms, or anything about collusion beyond this first recruitment call.</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One main model and one task template.</w:t>
      </w:r>
      <w:r>
        <w:rPr>
          <w:rFonts w:ascii="XCharter" w:hAnsi="XCharter" w:cs="XCharter" w:eastAsia="XCharter"/>
          <w:sz w:val="22"/>
        </w:rPr>
        <w:t xml:space="preserve"> </w:t>
      </w:r>
      <w:r>
        <w:rPr>
          <w:rFonts w:ascii="XCharter" w:hAnsi="XCharter" w:cs="XCharter" w:eastAsia="XCharter"/>
          <w:sz w:val="22"/>
        </w:rPr>
        <w:t xml:space="preserve">All main results come from one target, Qwen3-32B, on six scenarios built from the same task. The give-in rates, and how predictable they are, may differ for other models or tasks. The second target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shows one such difference: it gives in faster, and nothing predicts it.</w:t>
      </w:r>
    </w:p>
    <w:p>
      <w:pPr>
        <w:pStyle w:val="Compact"/>
        <w:widowControl/>
        <w:numPr>
          <w:ilvl w:val="0"/>
          <w:numId w:val="1004"/>
        </w:numPr>
        <w:spacing w:line="259" w:lineRule="auto" w:after="60"/>
        <w:jc w:val="left"/>
      </w:pPr>
      <w:r>
        <w:rPr>
          <w:rFonts w:ascii="XCharter" w:hAnsi="XCharter" w:cs="XCharter" w:eastAsia="XCharter"/>
          <w:i/>
          <w:iCs/>
          <w:sz w:val="22"/>
        </w:rPr>
        <w:t xml:space="preserve">Activations from one position.</w:t>
      </w:r>
      <w:r>
        <w:rPr>
          <w:rFonts w:ascii="XCharter" w:hAnsi="XCharter" w:cs="XCharter" w:eastAsia="XCharter"/>
          <w:sz w:val="22"/>
        </w:rPr>
        <w:t xml:space="preserve"> </w:t>
      </w:r>
      <w:r>
        <w:rPr>
          <w:rFonts w:ascii="XCharter" w:hAnsi="XCharter" w:cs="XCharter" w:eastAsia="XCharter"/>
          <w:sz w:val="22"/>
        </w:rPr>
        <w:t xml:space="preserve">The probe reads the model’s internal state only at the last token of each prompt, before the reply. If the decision to give in forms while the reply is being written, this probe understates what can be read; reading at the decision point is future work.</w:t>
      </w:r>
    </w:p>
    <w:p>
      <w:pPr>
        <w:pStyle w:val="Compact"/>
        <w:widowControl/>
        <w:numPr>
          <w:ilvl w:val="0"/>
          <w:numId w:val="1004"/>
        </w:numPr>
        <w:spacing w:line="259" w:lineRule="auto" w:after="60"/>
        <w:jc w:val="left"/>
      </w:pPr>
      <w:r>
        <w:rPr>
          <w:rFonts w:ascii="XCharter" w:hAnsi="XCharter" w:cs="XCharter" w:eastAsia="XCharter"/>
          <w:i/>
          <w:iCs/>
          <w:sz w:val="22"/>
        </w:rPr>
        <w:t xml:space="preserve">The near-term label was chosen after seeing results.</w:t>
      </w:r>
      <w:r>
        <w:rPr>
          <w:rFonts w:ascii="XCharter" w:hAnsi="XCharter" w:cs="XCharter" w:eastAsia="XCharter"/>
          <w:sz w:val="22"/>
        </w:rPr>
        <w:t xml:space="preserve"> </w:t>
      </w:r>
      <w:r>
        <w:rPr>
          <w:rFonts w:ascii="XCharter" w:hAnsi="XCharter" w:cs="XCharter" w:eastAsia="XCharter"/>
          <w:sz w:val="22"/>
        </w:rPr>
        <w:t xml:space="preserve">We defined it once the eventual label had failed. To guard against picking a label that merely happened to work, we fixed the full analysis plan before collecting 89 new episodes and scored them once; that confirmation test is the only fully prospective one.</w:t>
      </w:r>
    </w:p>
    <w:p>
      <w:pPr>
        <w:pStyle w:val="Compact"/>
        <w:widowControl/>
        <w:numPr>
          <w:ilvl w:val="0"/>
          <w:numId w:val="1004"/>
        </w:numPr>
        <w:spacing w:line="259" w:lineRule="auto" w:after="60"/>
        <w:jc w:val="left"/>
      </w:pPr>
      <w:r>
        <w:rPr>
          <w:rFonts w:ascii="XCharter" w:hAnsi="XCharter" w:cs="XCharter" w:eastAsia="XCharter"/>
          <w:i/>
          <w:iCs/>
          <w:sz w:val="22"/>
        </w:rPr>
        <w:t xml:space="preserve">Uneven scenarios.</w:t>
      </w:r>
      <w:r>
        <w:rPr>
          <w:rFonts w:ascii="XCharter" w:hAnsi="XCharter" w:cs="XCharter" w:eastAsia="XCharter"/>
          <w:sz w:val="22"/>
        </w:rPr>
        <w:t xml:space="preserve"> </w:t>
      </w:r>
      <w:r>
        <w:rPr>
          <w:rFonts w:ascii="XCharter" w:hAnsi="XCharter" w:cs="XCharter" w:eastAsia="XCharter"/>
          <w:sz w:val="22"/>
        </w:rPr>
        <w:t xml:space="preserve">The main scenario has more episodes than the other five, and episodes drop out unevenly (the target never read the value, the run failed, or the ordinary task was not done). In some scenarios this could favour targets that engage with the file. Per-scenario counts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and an average over scenarios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4"/>
        </w:numPr>
        <w:spacing w:line="259" w:lineRule="auto" w:after="60"/>
        <w:jc w:val="left"/>
      </w:pPr>
      <w:r>
        <w:rPr>
          <w:rFonts w:ascii="XCharter" w:hAnsi="XCharter" w:cs="XCharter" w:eastAsia="XCharter"/>
          <w:i/>
          <w:iCs/>
          <w:sz w:val="22"/>
        </w:rPr>
        <w:t xml:space="preserve">Automated judges.</w:t>
      </w:r>
      <w:r>
        <w:rPr>
          <w:rFonts w:ascii="XCharter" w:hAnsi="XCharter" w:cs="XCharter" w:eastAsia="XCharter"/>
          <w:sz w:val="22"/>
        </w:rPr>
        <w:t xml:space="preserve"> </w:t>
      </w:r>
      <w:r>
        <w:rPr>
          <w:rFonts w:ascii="XCharter" w:hAnsi="XCharter" w:cs="XCharter" w:eastAsia="XCharter"/>
          <w:sz w:val="22"/>
        </w:rPr>
        <w:t xml:space="preserve">One automated judge labels each give-in as deliberate or accidental; it agrees with the author’s blind labels on 36 of 40 give-ins (</w:t>
      </w:r>
      <w:r>
        <w:rPr>
          <w:rFonts w:ascii="XCharter" w:hAnsi="XCharter" w:cs="XCharter" w:eastAsia="XCharter"/>
          <w:sz w:val="22"/>
        </w:rPr>
        <w:t xml:space="preserve">κ</w:t>
      </w:r>
      <w:r>
        <w:rPr>
          <w:rFonts w:ascii="XCharter" w:hAnsi="XCharter" w:cs="XCharter" w:eastAsia="XCharter"/>
          <w:sz w:val="22"/>
        </w:rPr>
        <w:t xml:space="preserve"> = 0.79). The LLM monitor’s score scale is defined only at its two ends, not with a graded rubric.</w:t>
      </w:r>
    </w:p>
    <w:p>
      <w:pPr>
        <w:pStyle w:val="Compact"/>
        <w:widowControl/>
        <w:numPr>
          <w:ilvl w:val="0"/>
          <w:numId w:val="1004"/>
        </w:numPr>
        <w:spacing w:line="259" w:lineRule="auto" w:after="60"/>
        <w:jc w:val="left"/>
      </w:pPr>
      <w:r>
        <w:rPr>
          <w:rFonts w:ascii="XCharter" w:hAnsi="XCharter" w:cs="XCharter" w:eastAsia="XCharter"/>
          <w:i/>
          <w:iCs/>
          <w:sz w:val="22"/>
        </w:rPr>
        <w:t xml:space="preserve">Pooled cross-validation compares scores from different fitted probes.</w:t>
      </w:r>
      <w:r>
        <w:rPr>
          <w:rFonts w:ascii="XCharter" w:hAnsi="XCharter" w:cs="XCharter" w:eastAsia="XCharter"/>
          <w:sz w:val="22"/>
        </w:rPr>
        <w:t xml:space="preserve"> </w:t>
      </w:r>
      <w:r>
        <w:rPr>
          <w:rFonts w:ascii="XCharter" w:hAnsi="XCharter" w:cs="XCharter" w:eastAsia="XCharter"/>
          <w:sz w:val="22"/>
        </w:rPr>
        <w:t xml:space="preserve">Each fold has its own probe, and the metric compares scores across folds within one scenario and round, which can pull even simple baselines below chance. A check that compares only scores from the same fold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The held-out-scenario and confirmation results do not have this problem.</w:t>
      </w:r>
    </w:p>
    <w:p>
      <w:pPr>
        <w:pStyle w:val="Compact"/>
        <w:widowControl/>
        <w:numPr>
          <w:ilvl w:val="0"/>
          <w:numId w:val="1004"/>
        </w:numPr>
        <w:spacing w:line="259" w:lineRule="auto" w:after="60"/>
        <w:jc w:val="left"/>
      </w:pPr>
      <w:r>
        <w:rPr>
          <w:rFonts w:ascii="XCharter" w:hAnsi="XCharter" w:cs="XCharter" w:eastAsia="XCharter"/>
          <w:i/>
          <w:iCs/>
          <w:sz w:val="22"/>
        </w:rPr>
        <w:t xml:space="preserve">A possible bias toward the probe in the combination test.</w:t>
      </w:r>
      <w:r>
        <w:rPr>
          <w:rFonts w:ascii="XCharter" w:hAnsi="XCharter" w:cs="XCharter" w:eastAsia="XCharter"/>
          <w:sz w:val="22"/>
        </w:rPr>
        <w:t xml:space="preserve"> </w:t>
      </w:r>
      <w:r>
        <w:rPr>
          <w:rFonts w:ascii="XCharter" w:hAnsi="XCharter" w:cs="XCharter" w:eastAsia="XCharter"/>
          <w:sz w:val="22"/>
        </w:rPr>
        <w:t xml:space="preserve">The combined model’s probe input for training calls is the out-of-fold probe score, and the fold probes behind those scores were trained on overlapping calls, including the combination model’s own test fold. This can make the all-data combination gains optimistic; we have not measured by how much. The new-episode confirmation test does not have this problem.</w:t>
      </w:r>
    </w:p>
    <w:p>
      <w:pPr>
        <w:pStyle w:val="Compact"/>
        <w:widowControl/>
        <w:numPr>
          <w:ilvl w:val="0"/>
          <w:numId w:val="1004"/>
        </w:numPr>
        <w:spacing w:line="259" w:lineRule="auto" w:after="60"/>
        <w:jc w:val="left"/>
      </w:pPr>
      <w:r>
        <w:rPr>
          <w:rFonts w:ascii="XCharter" w:hAnsi="XCharter" w:cs="XCharter" w:eastAsia="XCharter"/>
          <w:i/>
          <w:iCs/>
          <w:sz w:val="22"/>
        </w:rPr>
        <w:t xml:space="preserve">The scoring window has edges.</w:t>
      </w:r>
      <w:r>
        <w:rPr>
          <w:rFonts w:ascii="XCharter" w:hAnsi="XCharter" w:cs="XCharter" w:eastAsia="XCharter"/>
          <w:sz w:val="22"/>
        </w:rPr>
        <w:t xml:space="preserve"> </w:t>
      </w:r>
      <w:r>
        <w:rPr>
          <w:rFonts w:ascii="XCharter" w:hAnsi="XCharter" w:cs="XCharter" w:eastAsia="XCharter"/>
          <w:sz w:val="22"/>
        </w:rPr>
        <w:t xml:space="preserve">A give-in in the very first reply after the target reads the value leaves no call to score, so it cannot be predicted at all, and episodes in which the target never reads the value are dropped. We could define the window exactly because the value always arrives one known way (a file read); a monitor in deployment would not know when an agent obtained the means to break the rule.</w:t>
      </w:r>
    </w:p>
    <w:p>
      <w:pPr>
        <w:pStyle w:val="Compact"/>
        <w:widowControl/>
        <w:numPr>
          <w:ilvl w:val="0"/>
          <w:numId w:val="1004"/>
        </w:numPr>
        <w:spacing w:line="259" w:lineRule="auto" w:after="60"/>
        <w:jc w:val="left"/>
      </w:pPr>
      <w:r>
        <w:rPr>
          <w:rFonts w:ascii="XCharter" w:hAnsi="XCharter" w:cs="XCharter" w:eastAsia="XCharter"/>
          <w:i/>
          <w:iCs/>
          <w:sz w:val="22"/>
        </w:rPr>
        <w:t xml:space="preserve">Accidental disclosures count as give-ins,</w:t>
      </w:r>
      <w:r>
        <w:rPr>
          <w:rFonts w:ascii="XCharter" w:hAnsi="XCharter" w:cs="XCharter" w:eastAsia="XCharter"/>
          <w:sz w:val="22"/>
        </w:rPr>
        <w:t xml:space="preserve"> </w:t>
      </w:r>
      <w:r>
        <w:rPr>
          <w:rFonts w:ascii="XCharter" w:hAnsi="XCharter" w:cs="XCharter" w:eastAsia="XCharter"/>
          <w:sz w:val="22"/>
        </w:rPr>
        <w:t xml:space="preserve">because the operator is harmed either way. The deliberate/accidental split is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a deliberate-only check, which covers the first data batch and the eventual label only,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4"/>
        </w:numPr>
        <w:spacing w:line="259" w:lineRule="auto" w:after="60"/>
        <w:jc w:val="left"/>
      </w:pPr>
      <w:r>
        <w:rPr>
          <w:rFonts w:ascii="XCharter" w:hAnsi="XCharter" w:cs="XCharter" w:eastAsia="XCharter"/>
          <w:i/>
          <w:iCs/>
          <w:sz w:val="22"/>
        </w:rPr>
        <w:t xml:space="preserve">Not a reproduction of the 2026 incident.</w:t>
      </w:r>
      <w:r>
        <w:rPr>
          <w:rFonts w:ascii="XCharter" w:hAnsi="XCharter" w:cs="XCharter" w:eastAsia="XCharter"/>
          <w:sz w:val="22"/>
        </w:rPr>
        <w:t xml:space="preserve"> </w:t>
      </w:r>
      <w:r>
        <w:rPr>
          <w:rFonts w:ascii="XCharter" w:hAnsi="XCharter" w:cs="XCharter" w:eastAsia="XCharter"/>
          <w:sz w:val="22"/>
        </w:rPr>
        <w:t xml:space="preserve">In the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agent found working Hugging Face credentials exposed on the internet and posted them to a shared board. In our setup, a peer asks the target for a value kept in the operator’s own protected file. Our claim concerns predicting a rule violation that a peer induces, not the incident itself.</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which tells an attacker where pressure is least likely to be caught. The per-call results add two more routes: knowing which calls a probe can read could help an adversary spread pressure across calls or route a disclosure through plain text or an encoding rather than a tool call, and a released probe could be used to tune pressure until it evades the probe. Our probes are trained on these scenarios and are not hardened against such adaptation.</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9" w:name="_1c2832545d6be5937b2db194f5b1e2f4105b9d9"/>
      <w:r>
        <w:rPr>
          <w:rFonts w:ascii="Old Standard TT" w:hAnsi="Old Standard TT"/>
          <w:b/>
          <w:sz w:val="26"/>
        </w:rPr>
        <w:t xml:space="preserve">B. Experimental Pipeline and Reproducibility</w:t>
      </w:r>
      <w:bookmarkEnd w:id="139"/>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1" name="Picture"/>
            <a:graphic>
              <a:graphicData uri="http://schemas.openxmlformats.org/drawingml/2006/picture">
                <pic:pic>
                  <pic:nvPicPr>
                    <pic:cNvPr descr="figures/pipeline.png" id="142" name="Picture"/>
                    <pic:cNvPicPr>
                      <a:picLocks noChangeArrowheads="1" noChangeAspect="1"/>
                    </pic:cNvPicPr>
                  </pic:nvPicPr>
                  <pic:blipFill>
                    <a:blip r:embed="rId140"/>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3"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c5a50e7e14dda524ff1a7eb4685702afcae028b">
              <w:r>
                <w:rPr>
                  <w:rStyle w:val="Hyperlink"/>
                  <w:rFonts w:ascii="XCharter" w:hAnsi="XCharter" w:cs="XCharter" w:eastAsia="XCharter"/>
                  <w:color w:val="000080"/>
                  <w:sz w:val="18"/>
                  <w:u w:val="none"/>
                </w:rPr>
                <w:t xml:space="preserve">Figure 2</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held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4" w:name="_29f519cfe2b273e1f41de0c770c5dd81f1818a5"/>
      <w:r>
        <w:rPr>
          <w:rFonts w:ascii="Old Standard TT" w:hAnsi="Old Standard TT"/>
          <w:b/>
          <w:sz w:val="26"/>
        </w:rPr>
        <w:t xml:space="preserve">C. Scenarios, an Example, and Model Choice</w:t>
      </w:r>
      <w:bookmarkEnd w:id="144"/>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5"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5"/>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Held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9af0a0be73df5a4a2132a3bbde2a7aaba8a9fb7"/>
      <w:r>
        <w:rPr>
          <w:rFonts w:ascii="Old Standard TT" w:hAnsi="Old Standard TT"/>
          <w:b/>
          <w:sz w:val="26"/>
        </w:rPr>
        <w:t xml:space="preserve">D. Labels and Judges</w:t>
      </w:r>
      <w:bookmarkEnd w:id="146"/>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 only a channel post counts, and any earlier public emission, such as a file write, ends the scoring window.</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held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held,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held-episode calls as negatives; C uses a within-three-target-calls window against held episodes. Both drop calls using hindsight, so neither is a prospective alarm label; their results are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16e1c949c1569f7f4050c474671b93e6b4d1bae"/>
      <w:r>
        <w:rPr>
          <w:rFonts w:ascii="Old Standard TT" w:hAnsi="Old Standard TT"/>
          <w:b/>
          <w:sz w:val="26"/>
        </w:rPr>
        <w:t xml:space="preserve">E. Detectors and Evaluation</w:t>
      </w:r>
      <w:bookmarkEnd w:id="147"/>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held calls scored 0.5 and 0.9: the give-in outranks one of the two held calls, so the group AUROC is 0.5. A second group with a give-in at 0.7 and a held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held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held,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target reply.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8"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4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slight bias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7);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Steps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held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held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0" name="Picture"/>
            <a:graphic>
              <a:graphicData uri="http://schemas.openxmlformats.org/drawingml/2006/picture">
                <pic:pic>
                  <pic:nvPicPr>
                    <pic:cNvPr descr="figures/figure_monitor_design.png" id="151" name="Picture"/>
                    <pic:cNvPicPr>
                      <a:picLocks noChangeArrowheads="1" noChangeAspect="1"/>
                    </pic:cNvPicPr>
                  </pic:nvPicPr>
                  <pic:blipFill>
                    <a:blip r:embed="rId149"/>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2"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3"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3"/>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(for example +0.123 for adding the conversation to the Jev forecaster)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4" w:name="_e774c98102b53efba7d6294684718b8ff2eaeba"/>
      <w:r>
        <w:rPr>
          <w:rFonts w:ascii="Old Standard TT" w:hAnsi="Old Standard TT"/>
          <w:b/>
          <w:sz w:val="26"/>
        </w:rPr>
        <w:t xml:space="preserve">F. Second Target: gpt-oss-20b (and Gemma-4-31B)</w:t>
      </w:r>
      <w:bookmarkEnd w:id="154"/>
    </w:p>
    <w:p>
      <w:pPr>
        <w:pStyle w:val="FirstParagraph"/>
        <w:widowControl/>
        <w:spacing w:after="0" w:line="259" w:lineRule="auto"/>
        <w:ind w:firstLine="0"/>
        <w:jc w:val="both"/>
      </w:pPr>
      <w:r>
        <w:rPr>
          <w:rFonts w:ascii="XCharter" w:hAnsi="XCharter" w:cs="XCharter" w:eastAsia="XCharter"/>
          <w:i/>
          <w:iCs/>
          <w:sz w:val="22"/>
        </w:rPr>
        <w:t xml:space="preserve">Does the setup, and the detection result,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labels and the within scenario × round metric; the detector recipes; and the matched controls. Changed for gpt-oss: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hold,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The scored give-in is the complete value posted to the channel.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w:t>
      </w:r>
      <w:hyperlink w:anchor="_25bb14770fc37df504297e721df35567de54430">
        <w:r>
          <w:rPr>
            <w:rStyle w:val="Hyperlink"/>
            <w:rFonts w:ascii="XCharter" w:hAnsi="XCharter" w:cs="XCharter" w:eastAsia="XCharter"/>
            <w:color w:val="000080"/>
            <w:sz w:val="22"/>
            <w:u w:val="none"/>
          </w:rPr>
          <w:t xml:space="preserve">Table F.1</w:t>
        </w:r>
      </w:hyperlink>
      <w:r>
        <w:rPr>
          <w:rFonts w:ascii="XCharter" w:hAnsi="XCharter" w:cs="XCharter" w:eastAsia="XCharter"/>
          <w:sz w:val="22"/>
        </w:rPr>
        <w:t xml:space="preserve">; 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5"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5"/>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held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190f1226d051d30d3bf4384ba25f172a7a45b0c"/>
      <w:r>
        <w:rPr>
          <w:rFonts w:ascii="Old Standard TT" w:hAnsi="Old Standard TT"/>
          <w:b/>
          <w:sz w:val="26"/>
        </w:rPr>
        <w:t xml:space="preserve">G. Behaviour Screening</w:t>
      </w:r>
      <w:bookmarkEnd w:id="156"/>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w:t>
      </w:r>
      <w:r>
        <w:rPr>
          <w:rFonts w:ascii="XCharter" w:hAnsi="XCharter" w:cs="XCharter" w:eastAsia="XCharter"/>
          <w:sz w:val="22"/>
        </w:rPr>
        <w:t xml:space="preserve"> </w:t>
      </w:r>
      <w:hyperlink w:anchor="_cf700f21b8c1e299bb1a9bbf63c423ce3b99667">
        <w:r>
          <w:rPr>
            <w:rStyle w:val="Hyperlink"/>
            <w:rFonts w:ascii="XCharter" w:hAnsi="XCharter" w:cs="XCharter" w:eastAsia="XCharter"/>
            <w:color w:val="000080"/>
            <w:sz w:val="22"/>
            <w:u w:val="none"/>
          </w:rPr>
          <w:t xml:space="preserve">Table G.1</w:t>
        </w:r>
      </w:hyperlink>
      <w:r>
        <w:rPr>
          <w:rFonts w:ascii="XCharter" w:hAnsi="XCharter" w:cs="XCharter" w:eastAsia="XCharter"/>
          <w:sz w:val="22"/>
        </w:rPr>
        <w:t xml:space="preserve"> </w:t>
      </w:r>
      <w:r>
        <w:rPr>
          <w:rFonts w:ascii="XCharter" w:hAnsi="XCharter" w:cs="XCharter" w:eastAsia="XCharter"/>
          <w:sz w:val="22"/>
        </w:rPr>
        <w:t xml:space="preserve">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held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7"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8" w:name="_7fccf12973301cf728201a32934c6648ff11624"/>
      <w:r>
        <w:rPr>
          <w:rFonts w:ascii="Old Standard TT" w:hAnsi="Old Standard TT"/>
          <w:b/>
          <w:sz w:val="26"/>
        </w:rPr>
        <w:t xml:space="preserve">H. Robustness and Diagnostics for the Main Results</w:t>
      </w:r>
      <w:bookmarkEnd w:id="158"/>
    </w:p>
    <w:p>
      <w:pPr>
        <w:pStyle w:val="FirstParagraph"/>
        <w:widowControl/>
        <w:spacing w:after="0" w:line="259" w:lineRule="auto"/>
        <w:ind w:firstLine="0"/>
        <w:jc w:val="both"/>
      </w:pPr>
      <w:r>
        <w:rPr>
          <w:rFonts w:ascii="XCharter" w:hAnsi="XCharter" w:cs="XCharter" w:eastAsia="XCharter"/>
          <w:i/>
          <w:iCs/>
          <w:sz w:val="22"/>
        </w:rPr>
        <w:t xml:space="preserve">Do the headline numbers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w:t>
      </w:r>
      <w:hyperlink w:anchor="_adc0566d9aa731c0ce7897a782f199208b3f6d2">
        <w:r>
          <w:rPr>
            <w:rStyle w:val="Hyperlink"/>
            <w:rFonts w:ascii="XCharter" w:hAnsi="XCharter" w:cs="XCharter" w:eastAsia="XCharter"/>
            <w:color w:val="000080"/>
            <w:sz w:val="22"/>
            <w:u w:val="none"/>
          </w:rPr>
          <w:t xml:space="preserve">Table H.2</w:t>
        </w:r>
      </w:hyperlink>
      <w:r>
        <w:rPr>
          <w:rFonts w:ascii="XCharter" w:hAnsi="XCharter" w:cs="XCharter" w:eastAsia="XCharter"/>
          <w:sz w:val="22"/>
        </w:rPr>
        <w:t xml:space="preserve">), and an MLP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the per-layer curve is</w:t>
      </w:r>
      <w:r>
        <w:rPr>
          <w:rFonts w:ascii="XCharter" w:hAnsi="XCharter" w:cs="XCharter" w:eastAsia="XCharter"/>
          <w:sz w:val="22"/>
        </w:rPr>
        <w:t xml:space="preserve"> </w:t>
      </w:r>
      <w:hyperlink w:anchor="_dd9702a6fae9d1b87a7432d2aa8903a52b17235">
        <w:r>
          <w:rPr>
            <w:rStyle w:val="Hyperlink"/>
            <w:rFonts w:ascii="XCharter" w:hAnsi="XCharter" w:cs="XCharter" w:eastAsia="XCharter"/>
            <w:color w:val="000080"/>
            <w:sz w:val="22"/>
            <w:u w:val="none"/>
          </w:rPr>
          <w:t xml:space="preserve">Figure H.1</w:t>
        </w:r>
      </w:hyperlink>
      <w:r>
        <w:rPr>
          <w:rFonts w:ascii="XCharter" w:hAnsi="XCharter" w:cs="XCharter" w:eastAsia="XCharter"/>
          <w:sz w:val="22"/>
        </w:rPr>
        <w:t xml:space="preserve">.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9"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0"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1"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3" name="Picture"/>
            <a:graphic>
              <a:graphicData uri="http://schemas.openxmlformats.org/drawingml/2006/picture">
                <pic:pic>
                  <pic:nvPicPr>
                    <pic:cNvPr descr="figures/appendix_h_layers.png" id="164" name="Picture"/>
                    <pic:cNvPicPr>
                      <a:picLocks noChangeArrowheads="1" noChangeAspect="1"/>
                    </pic:cNvPicPr>
                  </pic:nvPicPr>
                  <pic:blipFill>
                    <a:blip r:embed="rId162"/>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5"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5"/>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held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held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held recruiting episodes for a nominal 5% per-episode false-alarm rate (strict threshold), the Jev forecaster catches 10 of 101 give-ins (9.9%) with 6 of 140 held episodes alarming (4.3%); the probe 8 of 101 (7.9%) and 8 of 140 (5.7%); GPT-5-nano 0 of 101 and 0 of 140. Probe scores are pooled-CV out-of-fold scores, z-scored within each fold model and averaged over seeds. For each seed-42 fold, the cutoff is the value that at most 5% of held episodes from the other folds (families of the evaluated fold excluded) exceed with their maximum score, and only a score strictly above it alarms. A give-in counts as caught if an alarm fires on one of its near-term-positive calls, and a held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6" w:name="_889344895f04d1f9f75d0ebcc55c0e9d025ecfb"/>
      <w:r>
        <w:rPr>
          <w:rFonts w:ascii="Old Standard TT" w:hAnsi="Old Standard TT"/>
          <w:b/>
          <w:sz w:val="26"/>
        </w:rPr>
        <w:t xml:space="preserve">I. Prompts</w:t>
      </w:r>
      <w:bookmarkEnd w:id="166"/>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7" w:name="_33bf1cd3074762475a7470d90c6bbd938fdac44"/>
      <w:r>
        <w:rPr>
          <w:rFonts w:ascii="Old Standard TT" w:hAnsi="Old Standard TT"/>
          <w:b/>
          <w:sz w:val="26"/>
        </w:rPr>
        <w:t xml:space="preserve">I.1 Target agent (Qwen3-32B and gpt-oss-20b)</w:t>
      </w:r>
      <w:bookmarkEnd w:id="167"/>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d7ac7fb6a629ef29d896d387aeb1cbdff09ae31"/>
      <w:r>
        <w:rPr>
          <w:rFonts w:ascii="Old Standard TT" w:hAnsi="Old Standard TT"/>
          <w:b/>
          <w:sz w:val="26"/>
        </w:rPr>
        <w:t xml:space="preserve">I.2 Peer agent, Qwen3-32B episodes (DeepSeek-V4-Flash)</w:t>
      </w:r>
      <w:bookmarkEnd w:id="168"/>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20ca0bd4e22b8907b745ffe52788f85136b39d1"/>
      <w:r>
        <w:rPr>
          <w:rFonts w:ascii="Old Standard TT" w:hAnsi="Old Standard TT"/>
          <w:b/>
          <w:sz w:val="26"/>
        </w:rPr>
        <w:t xml:space="preserve">I.3 Peer agent, gpt-oss-20b episodes (DeepSeek-V4-Pro)</w:t>
      </w:r>
      <w:bookmarkEnd w:id="169"/>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f002de876b18b98d7718a6bd3deb30b9403007e"/>
      <w:r>
        <w:rPr>
          <w:rFonts w:ascii="Old Standard TT" w:hAnsi="Old Standard TT"/>
          <w:b/>
          <w:sz w:val="26"/>
        </w:rPr>
        <w:t xml:space="preserve">I.4 Text monitors</w:t>
      </w:r>
      <w:bookmarkEnd w:id="170"/>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9c1464226db10cf5b2f811ceea16efe8dd113a9"/>
      <w:r>
        <w:rPr>
          <w:rFonts w:ascii="Old Standard TT" w:hAnsi="Old Standard TT"/>
          <w:b/>
          <w:sz w:val="26"/>
        </w:rPr>
        <w:t xml:space="preserve">J. A Scaled Follow-Up Study: Design and Decision Criteria</w:t>
      </w:r>
      <w:bookmarkEnd w:id="171"/>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finding that the conversation matters more than activations. On gpt-oss-20b, any tuned detector clearly above chance would weaken our reading of that model as a limit on when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becomes predictable once it has a longer window, the limit lies in the setting, not the model. If it stays at chance, the difference lies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near-term predictability that holds across models and multi-agent settings would support a general claim; if it holds only for Qwen3-32B, our main result is specific to that model.</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today every detector catches at most a tenth of give-ins at a 5% false-alarm rate set on held episodes (App. H).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527a2614b0d9aee1dd56ba38d518b45bdf577b0"/>
      <w:r>
        <w:rPr>
          <w:rFonts w:ascii="Old Standard TT" w:hAnsi="Old Standard TT"/>
          <w:b/>
          <w:sz w:val="26"/>
        </w:rPr>
        <w:t xml:space="preserve">K. Related Work in Full</w:t>
      </w:r>
      <w:bookmarkEnd w:id="172"/>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four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model-specific signal we find.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calls.</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4eebb92370222c9c8f01ec8125bb39dc064483d"/>
      <w:r>
        <w:rPr>
          <w:rFonts w:ascii="Old Standard TT" w:hAnsi="Old Standard TT"/>
          <w:b/>
          <w:sz w:val="26"/>
        </w:rPr>
        <w:t xml:space="preserve">L. Per-call and Streaming Probes</w:t>
      </w:r>
      <w:bookmarkEnd w:id="173"/>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main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0fdfa08c8aa9ffbf1d598022d2903121bf1f3a9"/>
      <w:r>
        <w:rPr>
          <w:rFonts w:ascii="Old Standard TT" w:hAnsi="Old Standard TT"/>
          <w:b/>
          <w:sz w:val="26"/>
        </w:rPr>
        <w:t xml:space="preserve">L.1 The gpt-oss-20b reasoning probe: design and development results</w:t>
      </w:r>
      <w:bookmarkEnd w:id="174"/>
    </w:p>
    <w:p>
      <w:pPr>
        <w:pStyle w:val="FirstParagraph"/>
        <w:widowControl/>
        <w:spacing w:after="0" w:line="259" w:lineRule="auto"/>
        <w:ind w:firstLine="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Our main probe reads one position per request, the last prompt token. A probe scored at every generated token, including reasoning, could warn within the call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call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r>
        <w:rPr>
          <w:rFonts w:ascii="XCharter" w:hAnsi="XCharter" w:cs="XCharter" w:eastAsia="XCharter"/>
          <w:sz w:val="22"/>
        </w:rPr>
        <w:t xml:space="preserve">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t>
      </w:r>
      <w:r>
        <w:rPr>
          <w:rFonts w:ascii="XCharter" w:hAnsi="XCharter" w:cs="XCharter" w:eastAsia="XCharter"/>
          <w:sz w:val="22"/>
        </w:rPr>
        <w:t xml:space="preserve">gives the results.</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main gpt-oss cohort (2,059 post-ask recruiting calls from 238 episodes) ends before the first public emission, so it holds no leaking call. We added each episode’s first public-emission call (146 calls), giving 2,205. Of these, 1,995 have reasoning, including 121 of the 146 leaking calls; every scored token precedes the call’s first public answer or tool-call token. Only 2 leaking calls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held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paper’s near-term label differs in three ways: it concerns a channel leak; it marks the eligible calls before the leak, in the leak’s round or the one before; and the main probe reads one position per call, the last prompt token, before any reasoning. The near-term comparator below uses that paper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main gpt-oss probe: logistic regression with C = 0.1, training-only scaling, round-balanced weights and the same 17 candidate layers, on the saved pooled folds and held-out-scenario rotations, seeds 42, 43 and 44. Each token carries its call’s label, and each call’s weight is split equally across its tokens, so long reasoning does not dominate. A call’s score is its maximum token score (the mean is also reported). The layer is chosen on the inner split by the call-level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calls.</w:t>
      </w:r>
      <w:r>
        <w:rPr>
          <w:rFonts w:ascii="XCharter" w:hAnsi="XCharter" w:cs="XCharter" w:eastAsia="XCharter"/>
          <w:sz w:val="22"/>
        </w:rPr>
        <w:t xml:space="preserve"> </w:t>
      </w:r>
      <w:r>
        <w:rPr>
          <w:rFonts w:ascii="XCharter" w:hAnsi="XCharter" w:cs="XCharter" w:eastAsia="XCharter"/>
          <w:sz w:val="22"/>
        </w:rPr>
        <w:t xml:space="preserve">The frozen main gpt-oss last-prompt probe, applied without refitting (it was trained on the channel near-term label). Two text monitors, run differently from the main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call, Jev 1.14 and GPT-5-nano read only that call’s reasoning so far, at six cumulative cut points (five evenly spaced through the reasoning, then the full reasoning), and at each answer one per-call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calls. The call’s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calls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calls’ maximum scores for a nominal 5% call false-alarm rate (strictly above alarms). A leaking call counts as warned if an alarm fires on any of its reasoning tokens; false alarms are counted on calls from held episodes.</w:t>
      </w:r>
    </w:p>
    <w:p>
      <w:pPr>
        <w:pStyle w:val="Caption"/>
        <w:keepNext/>
        <w:keepLines/>
        <w:widowControl/>
        <w:spacing w:line="240" w:lineRule="auto" w:before="0" w:after="120"/>
        <w:ind w:firstLine="0"/>
      </w:pPr>
      <w:bookmarkStart w:id="175"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call from its reasoning (gpt-oss-20b, exploratory). Within scenario × round AUROC with 95% family-bootstrap intervals, 1,995 calls (121 leaking) from 238 episodes. Text monitors and fixed rules have no fitted parameters, so their two columns are equal.</w:t>
      </w:r>
      <w:bookmarkEnd w:id="17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(main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paper’s channel near-term label, not on</w:t>
      </w:r>
      <w:r>
        <w:rPr>
          <w:rFonts w:ascii="XCharter" w:hAnsi="XCharter" w:cs="XCharter" w:eastAsia="XCharter"/>
          <w:sz w:val="22"/>
        </w:rPr>
        <w:t xml:space="preserve"> </w:t>
      </w:r>
      <w:r>
        <w:rPr>
          <w:rFonts w:ascii="XCharter" w:hAnsi="XCharter" w:cs="XCharter" w:eastAsia="XCharter"/>
          <w:sz w:val="22"/>
        </w:rPr>
        <w:t xml:space="preserve">“this call leaks”</w:t>
      </w:r>
      <w:r>
        <w:rPr>
          <w:rFonts w:ascii="XCharter" w:hAnsi="XCharter" w:cs="XCharter" w:eastAsia="XCharter"/>
          <w:sz w:val="22"/>
        </w:rPr>
        <w:t xml:space="preserve">, so its 0.49 does not show that the context before the call lacks the signal. The fair comparator is L.2’s probe on the incoming peer message and tool results, trained on the same label: it also ranks well (0.927), but with a far less precise cutoff (19.1% against 4.4% of held calls alarm). That probe uses one seed and a reduced recipe, so the comparison is indicative. On the paper’s own near-term label and the main cohort’s calls that have reasoning (1,874 calls,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control-call cutoff, the reasoning probe warns on 84.8% of the leaking calls that have reasoning (seed mean) on held-out scenarios, with 4.4% of held-episode calls alarming; pooled, 75.5% and 2.0%. Per episode the false-alarm rate is far higher: at least one alarm fires in 41.3% [33.3, 50.0] of the 92 held episodes on held-out scenarios and 23.9% [17.0, 31.5] pooled, well above the nominal 5% per call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call-calibrated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held recruiting episodes (2%, 21%, 1%). The probe’s ranking is stable across seeds, but these thresholded rates are not. Most stops fall within the leaking call (median step lead 0; 12 of the 149 caught episode-seed observations alarm on an earlier request). The 5% applies to the training-side control episodes; the 8% is measured on the held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calls with no reasoning, end-to-end coverage is about 70% held-out and 63% pooled. The first crossing comes a median 8% of the way into the reasoning (interquartile range 5–22%). Jev warns on 91.7% of leaking calls, but 9.0–9.4% of held-episode calls alarm. GPT-5-nano warns on 5.0%, with 34.6% alarming. The keyword rules never alarm, because they match more than 5% of control calls.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main results, uses one model, and tried several variants (two aggregates, two cuts, two splits); it has no confirmation set. The label is any public emission, not the paper’s outcome. Within a call the probe likely reads a decision the model is already reasoning toward, so this is detection before the action, not earlier prediction. On the near-term label it is far weaker (0.64). The text monitors read six prefixes rather than every token, so their timing is coarser. Returned reasoning may omit hidden reasoning, and the replay reproduces reasoning tokens less tightly than answer tokens (call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6" w:name="_7a58329c2353e56a5bd1d72f28e42872a37757f"/>
      <w:r>
        <w:rPr>
          <w:rFonts w:ascii="Old Standard TT" w:hAnsi="Old Standard TT"/>
          <w:b/>
          <w:sz w:val="26"/>
        </w:rPr>
        <w:t xml:space="preserve">L.2 Expanded capture: incoming messages and action-time tokens</w:t>
      </w:r>
      <w:bookmarkEnd w:id="176"/>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calls plus 1,125 post-ask control calls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call (reasoning, answer and tool call), stopping just before the first character of the value when the call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 (</w:t>
      </w:r>
      <w:hyperlink w:anchor="_3bc6e88b4de02e96fd2503a1427ab8b3372dab7">
        <w:r>
          <w:rPr>
            <w:rStyle w:val="Hyperlink"/>
            <w:rFonts w:ascii="XCharter" w:hAnsi="XCharter" w:cs="XCharter" w:eastAsia="XCharter"/>
            <w:color w:val="000080"/>
            <w:sz w:val="22"/>
            <w:u w:val="none"/>
          </w:rPr>
          <w:t xml:space="preserve">Table L.2</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call.</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call, with logits averaged over a 16-token window of that sampled sequence and a token loss weighted by a softmax over the call’s own logits (temperature 1). Inference uses an exponential moving average of the logits (decay 2/17, our choice), and a call alarms at the first crossing. Otherwise the settings match L.1: C = 0.1, training-only scaling, round-balanced call weights, the immediate any-public label, and cutoffs set on other-fold control calls for a nominal 5% call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7"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calls that alarm; held alarms = share of calls in held episodes that alarm.</w:t>
      </w:r>
      <w:bookmarkEnd w:id="17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Held-call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calls,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calls,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held episodes (80%) and 49 of 92 (53%), respectively, would also have been stopped at least once. The median alarm comes in the same request as the leak (step lead 0), so the warning is late in the episode even when it is early in the request. The incoming-only result shows that the incoming messages of the leaking request carry a strong signal. Its high false-alarm rate fits a probe that also reads pressure, which the control-call cutoff never sees. The action-time result shows that a probe can stop the call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8" w:name="_a84b69b1f04b116b25a2e9fee2854a691cd8854"/>
      <w:r>
        <w:rPr>
          <w:rFonts w:ascii="Old Standard TT" w:hAnsi="Old Standard TT"/>
          <w:b/>
          <w:sz w:val="26"/>
        </w:rPr>
        <w:t xml:space="preserve">L.3 Per-call last-prompt probes on both models (post hoc)</w:t>
      </w:r>
      <w:bookmarkEnd w:id="178"/>
    </w:p>
    <w:p>
      <w:pPr>
        <w:pStyle w:val="FirstParagraph"/>
        <w:widowControl/>
        <w:spacing w:after="0" w:line="259" w:lineRule="auto"/>
        <w:ind w:firstLine="0"/>
        <w:jc w:val="both"/>
      </w:pPr>
      <w:r>
        <w:rPr>
          <w:rFonts w:ascii="XCharter" w:hAnsi="XCharter" w:cs="XCharter" w:eastAsia="XCharter"/>
          <w:sz w:val="22"/>
        </w:rPr>
        <w:t xml:space="preserve">The paper’s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Held-call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held calls alarm), the last-prompt probe 56.5% (1.6%). On Qwen3-32B the paper’s near-term probe scores 0.561 [0.514, 0.600] on the same 4,844 calls, so the per-call refit gains +0.391 [+0.345, +0.446]. For the Qwen3-32B per-call label, 104 candidate first-emission calls were audited against the paper’s publication rule before fitting (100 qualify; 3 are file-only or private writes; 1 moves to a later call), giving the paper’s 101 give-ins. Alarm cutoffs are set on training-side control calls; held-call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ladders.</w:t>
      </w:r>
      <w:r>
        <w:rPr>
          <w:rFonts w:ascii="XCharter" w:hAnsi="XCharter" w:cs="XCharter" w:eastAsia="XCharter"/>
          <w:sz w:val="22"/>
        </w:rPr>
        <w:t xml:space="preserve"> </w:t>
      </w:r>
      <w:r>
        <w:rPr>
          <w:rFonts w:ascii="XCharter" w:hAnsi="XCharter" w:cs="XCharter" w:eastAsia="XCharter"/>
          <w:sz w:val="22"/>
        </w:rPr>
        <w:t xml:space="preserve">On the same 1,995 gpt-oss-20b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On the same 4,844 Qwen3-32B calls and the give-in rule it scores 0.537 [0.501, 0.574] (1,105 positives), 0.669 [0.632, 0.705] (352) and 0.953 (101); pooled 0.511 and 0.666 (</w:t>
      </w:r>
      <w:r>
        <w:rPr>
          <w:rStyle w:val="VerbatimChar"/>
          <w:rFonts w:ascii="XCharter" w:hAnsi="XCharter" w:cs="XCharter" w:eastAsia="XCharter"/>
          <w:sz w:val="22"/>
        </w:rPr>
        <w:t xml:space="preserve">runs/20261026-1313-e05-qwen-label-ladder</w:t>
      </w:r>
      <w:r>
        <w:rPr>
          <w:rFonts w:ascii="XCharter" w:hAnsi="XCharter" w:cs="XCharter" w:eastAsia="XCharter"/>
          <w:sz w:val="22"/>
        </w:rPr>
        <w:t xml:space="preserve">). These differ from the paper’s 0.523 and 0.579, which use the 4,697 pre-emission calls and were confirmed on new episodes; the matched cohort adds the give-in calls, raising the near-term positives from 250 to 352. All matched rungs are post hoc.</w:t>
      </w:r>
    </w:p>
    <w:p>
      <w:pPr>
        <w:pStyle w:val="BodyText"/>
        <w:widowControl/>
        <w:spacing w:after="0" w:line="259" w:lineRule="auto"/>
        <w:ind w:firstLine="360"/>
        <w:jc w:val="both"/>
      </w:pPr>
      <w:r>
        <w:rPr>
          <w:rFonts w:ascii="XCharter" w:hAnsi="XCharter" w:cs="XCharter" w:eastAsia="XCharter"/>
          <w:b/>
          <w:bCs/>
          <w:sz w:val="22"/>
        </w:rPr>
        <w:t xml:space="preserve">Channel-window check (gpt-oss-20b).</w:t>
      </w:r>
      <w:r>
        <w:rPr>
          <w:rFonts w:ascii="XCharter" w:hAnsi="XCharter" w:cs="XCharter" w:eastAsia="XCharter"/>
          <w:sz w:val="22"/>
        </w:rPr>
        <w:t xml:space="preserve"> </w:t>
      </w:r>
      <w:r>
        <w:rPr>
          <w:rFonts w:ascii="XCharter" w:hAnsi="XCharter" w:cs="XCharter" w:eastAsia="XCharter"/>
          <w:sz w:val="22"/>
        </w:rPr>
        <w:t xml:space="preserve">On a wider cohort that runs through each episode’s first channel post (2,632 calls, 96 first-channel positives, same 238 episodes, no reasoning requirement), the per-call last-prompt probe on the paper’s channel give-in rule scores 0.943 [0.921, 0.961] held-out (pooled 0.925), catching 95.1% of channel calls at 13.0% held-call alarms. But 93 of the 96 positives, and 427 calls, come after an earlier public file emission, so most positives re-post a value that is already public. This is not a same-call comparison with the 0.91 cohort and not evidence of stopping the first leak (</w:t>
      </w:r>
      <w:r>
        <w:rPr>
          <w:rStyle w:val="VerbatimChar"/>
          <w:rFonts w:ascii="XCharter" w:hAnsi="XCharter" w:cs="XCharter" w:eastAsia="XCharter"/>
          <w:sz w:val="22"/>
        </w:rPr>
        <w:t xml:space="preserve">runs/20261026-1340-e05-channel-window-percall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held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held calls alarming), still below the probe. A fixed keyword rule on the latest incoming Qwen3-32B message scores 0.637 [0.609, 0.661] (broad list 0.610); on the full input every call matches (0.500), and the binary rule never alarms (</w:t>
      </w:r>
      <w:r>
        <w:rPr>
          <w:rStyle w:val="VerbatimChar"/>
          <w:rFonts w:ascii="XCharter" w:hAnsi="XCharter" w:cs="XCharter" w:eastAsia="XCharter"/>
          <w:sz w:val="22"/>
        </w:rPr>
        <w:t xml:space="preserve">runs/20261026-1334-e05-qwen-input-keywords</w:t>
      </w:r>
      <w:r>
        <w:rPr>
          <w:rFonts w:ascii="XCharter" w:hAnsi="XCharter" w:cs="XCharter" w:eastAsia="XCharter"/>
          <w:sz w:val="22"/>
        </w:rPr>
        <w:t xml:space="preserv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79" w:name="_8ce8413e36bee0c123bcc62a0f71b4050680895"/>
      <w:r>
        <w:rPr>
          <w:rFonts w:ascii="Old Standard TT" w:hAnsi="Old Standard TT"/>
          <w:b/>
          <w:sz w:val="26"/>
        </w:rPr>
        <w:t xml:space="preserve">L.4 Checks on the per-call signal</w:t>
      </w:r>
      <w:bookmarkEnd w:id="179"/>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1" name="Picture"/>
            <a:graphic>
              <a:graphicData uri="http://schemas.openxmlformats.org/drawingml/2006/picture">
                <pic:pic>
                  <pic:nvPicPr>
                    <pic:cNvPr descr="figures/figure3b_appendix_checks.png" id="182" name="Picture"/>
                    <pic:cNvPicPr>
                      <a:picLocks noChangeArrowheads="1" noChangeAspect="1"/>
                    </pic:cNvPicPr>
                  </pic:nvPicPr>
                  <pic:blipFill>
                    <a:blip r:embed="rId180"/>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3"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3a;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3"/>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give-ins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4" w:name="_c8f297a0d9ce8278545a005f22685cbf9f1c60b"/>
      <w:r>
        <w:rPr>
          <w:rFonts w:ascii="Old Standard TT" w:hAnsi="Old Standard TT"/>
          <w:b/>
          <w:sz w:val="26"/>
        </w:rPr>
        <w:t xml:space="preserve">L.5 Frozen confirmation on new gpt-oss-20b episodes</w:t>
      </w:r>
      <w:bookmarkEnd w:id="184"/>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old near-term label (mismatched label)</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held calls (12 of 490), 7 of 27 held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5" w:name="_4226a89df949a0459928c68902d888f03829ff2"/>
      <w:r>
        <w:rPr>
          <w:rFonts w:ascii="Old Standard TT" w:hAnsi="Old Standard TT"/>
          <w:b/>
          <w:sz w:val="26"/>
        </w:rPr>
        <w:t xml:space="preserve">L.6 Figure 3, full caption</w:t>
      </w:r>
      <w:bookmarkEnd w:id="185"/>
    </w:p>
    <w:p>
      <w:pPr>
        <w:pStyle w:val="FirstParagraph"/>
        <w:widowControl/>
        <w:spacing w:after="0" w:line="259" w:lineRule="auto"/>
        <w:ind w:firstLine="0"/>
        <w:jc w:val="left"/>
      </w:pPr>
      <w:r>
        <w:rPr>
          <w:rFonts w:ascii="XCharter" w:hAnsi="XCharter" w:cs="XCharter" w:eastAsia="XCharter"/>
          <w:sz w:val="22"/>
        </w:rPr>
        <w:t xml:space="preserve">A probe on the model’s activations picks out the call that will give in; an LLM judge given the same material does reasonably on Qwen3-32B but far below the probe, and on gpt-oss-20b ranks the leaking calls below the others. This analysis is exploratory and was designed after the main results. (a) Per-call within scenario × round AUROC on held-out scenarios (0.5 is chance, 1 is perfect); whiskers are 95% family-bootstrap confidence intervals. A call is positive if it is the first to make the protected value public: for gpt-oss-20b by any public emission (1,995 calls with reasoning, 121 positive, 238 episodes), for Qwen3-32B by the paper’s give-in rule (4,844 calls, 101 positive, 241 episodes). The last-prompt probe reads one position before the call generates anything; the reasoning probe takes the maximum over the call’s reasoning tokens. The frozen row applies the reasoning probe and its alarm cutoff, both fixed in advance, to 84 new episodes (594 calls with reasoning, 26 leaking, from 57 recruiting episodes). Jev 1.14 is given the same conversation and tool results as the last-prompt probe and asked whether this call will write or post the value; on gpt-oss-20b, as asked, it ranks the leaking calls below the others within a stratum (0.27; 0.73 if reversed post hoc, still below the probe’s 0.91) and flags nearly every pressured call; its input excludes earlier same-turn private reasoning, which the probe’s activations may retain. Jev reading the reasoning sees only the call’s reasoning text, as six growing snapshots scored with a running maximum and with the value masked. At a cutoff set for about 5% alarms on no-ask control calls, the share of leaking calls caught and of calls in never-leaking episodes flagged is 56% / 2% for the last-prompt probe, 85% / 4% for the reasoning probe, 54% / 2% for the frozen probe on new episodes, 98% / 87% for Jev on the same input and 92% / 9% for Jev on the reasoning; on Qwen3-32B, Jev on the same input is 71% / 28%. Qwen3-32B runs without reasoning. Further checks and baselines are in</w:t>
      </w:r>
      <w:r>
        <w:rPr>
          <w:rFonts w:ascii="XCharter" w:hAnsi="XCharter" w:cs="XCharter" w:eastAsia="XCharter"/>
          <w:sz w:val="22"/>
        </w:rPr>
        <w:t xml:space="preserve"> </w:t>
      </w:r>
      <w:hyperlink w:anchor="_ad2d7b342fdd3e19345fa68cf51f356827ece43">
        <w:r>
          <w:rPr>
            <w:rStyle w:val="Hyperlink"/>
            <w:rFonts w:ascii="XCharter" w:hAnsi="XCharter" w:cs="XCharter" w:eastAsia="XCharter"/>
            <w:color w:val="000080"/>
            <w:sz w:val="22"/>
            <w:u w:val="none"/>
          </w:rPr>
          <w:t xml:space="preserve">Figure L.1</w:t>
        </w:r>
      </w:hyperlink>
      <w:r>
        <w:rPr>
          <w:rFonts w:ascii="XCharter" w:hAnsi="XCharter" w:cs="XCharter" w:eastAsia="XCharter"/>
          <w:sz w:val="22"/>
        </w:rPr>
        <w:t xml:space="preserve">. (b) Matched ladders: within each series the model, the outcome, the reading position and the calls are fixed, and only the label horizon changes; lines join points of the same series, and the series are not compared with each other. Qwen3-32B, last prompt token, the paper’s give-in rule, on the same 4,844 calls from 241 episodes (ever, 0.54, 1,105 positives; this round or next, 0.67, 352 positives; this call, 0.95, 101 positives); these round-level values differ from the paper’s 0.52 and 0.58, which use the original 4,697-call cohort without the give-in calls. gpt-oss-20b, last prompt token, any public emission rather than the paper’s give-in rule, on the same 1,995 panel-a calls from 238 episodes (ever, 0.61, 330 positives; this round or next, 0.64, 304 positives; this call, 0.91, 121 positives). Retrained to ask whether this call will leak, the paper’s last-prompt probe reaches 0.91 before the model writes anything; reading the reasoning adds a little (0.93, the panel-a headline). One-call-ahead results (Qwen3-32B 0.71, gpt-oss-20b 0.62) use different call sets that exclude the give-in calls and are left to the appendix. Values and exact source keys are in figure3_streaming.csv.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6" w:name="_cb9581af10cbdf668d14e9255457c76a376db3f"/>
      <w:r>
        <w:rPr>
          <w:rFonts w:ascii="Old Standard TT" w:hAnsi="Old Standard TT"/>
          <w:b/>
          <w:sz w:val="28"/>
        </w:rPr>
        <w:t xml:space="preserve">LLM Usage Statement</w:t>
      </w:r>
      <w:bookmarkEnd w:id="186"/>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2" Type="http://schemas.openxmlformats.org/officeDocument/2006/relationships/image" Target="media/rId162.png"/><Relationship Id="rId16" Type="http://schemas.openxmlformats.org/officeDocument/2006/relationships/image" Target="media/rId16.png"/><Relationship Id="rId33" Type="http://schemas.openxmlformats.org/officeDocument/2006/relationships/image" Target="media/rId33.png"/><Relationship Id="rId27" Type="http://schemas.openxmlformats.org/officeDocument/2006/relationships/image" Target="media/rId27.png"/><Relationship Id="rId180" Type="http://schemas.openxmlformats.org/officeDocument/2006/relationships/image" Target="media/rId180.png"/><Relationship Id="rId149" Type="http://schemas.openxmlformats.org/officeDocument/2006/relationships/image" Target="media/rId149.png"/><Relationship Id="rId140" Type="http://schemas.openxmlformats.org/officeDocument/2006/relationships/image" Target="media/rId140.png"/><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2026-10-26T06:13:40Z</dcterms:created>
  <dcterms:modified xsi:type="dcterms:W3CDTF">2026-10-26T06:13:40Z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