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begins with recruitment: one agent pressing another to break a rule. We study a representative case - a peer pressing a target for up to 20 rounds to reveal a value its operator wants kept private, such as a deploy token. In six scenarios (one inspired by a 2026 incident), Qwen3-32B gives in on 42% of episodes and gpt-oss-20b on 43%. We compare probes on the target’s activations with text monitors. How well give-in can be predicted depends on how close to the act we ask. Whether it will ever give in is barely predictable, and whether it gives in this round or next only modestly (Qwen3-32B: probe AUROC 0.58, best monitor 0.65, both holding on new episodes). In follow-up experiments asking whether this call will give in, a probe reading before the call generates anything is strongly discriminative: AUROC 0.95 on held-out scenarios for Qwen3-32B and 0.91 for gpt-oss-20b, above a Jev decision-model monitor given the same conversation (0.74 and 0.27). On gpt-oss-20b, a probe on the streaming reasoning reaches 0.93 and holds at 0.91 on fresh episodes. Predictability forms a ladder: the nearer the act, the sharper the signal. For oversight, monitors need not just filter a harmful action once written: activation probes can flag the call about to give in before it acts, and, scaled to subtler collusion, could stop recruitment before it spreads between agents.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self-risking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In an exploratory audit, peer claims of operator authority did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0.95 on Qwen3-32B and 0.91 on gpt-oss-20b, above a decision-model monitor (Jev) on the same calls (0.74 and 0.27). A probe on gpt-oss-20b’s streaming reasoning reaches 0.93 and held on new episodes under a plan fixed in advance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every negative call is also pressured, and the result holds under keyword, placebo, censoring and workflow-position checks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For round-level monitors, the question and the input matter:</w:t>
      </w:r>
      <w:r>
        <w:rPr>
          <w:rFonts w:ascii="XCharter" w:hAnsi="XCharter" w:cs="XCharter" w:eastAsia="XCharter"/>
          <w:sz w:val="22"/>
        </w:rPr>
        <w:t xml:space="preserve"> </w:t>
      </w:r>
      <w:r>
        <w:rPr>
          <w:rFonts w:ascii="XCharter" w:hAnsi="XCharter" w:cs="XCharter" w:eastAsia="XCharter"/>
          <w:sz w:val="22"/>
        </w:rPr>
        <w:t xml:space="preserve">the strongest text monitor works best asked to forecast and shown the peer’s messages (</w:t>
      </w:r>
      <w:hyperlink w:anchor="_53a442ad08630cd2bdfad9b210d65fb18fbeef1">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make the same comparison under recruitment:</w:t>
      </w:r>
      <w:r>
        <w:rPr>
          <w:rFonts w:ascii="XCharter" w:hAnsi="XCharter" w:cs="XCharter" w:eastAsia="XCharter"/>
          <w:sz w:val="22"/>
        </w:rPr>
        <w:t xml:space="preserve"> </w:t>
      </w:r>
      <w:r>
        <w:rPr>
          <w:rFonts w:ascii="XCharter" w:hAnsi="XCharter" w:cs="XCharter" w:eastAsia="XCharter"/>
          <w:sz w:val="22"/>
        </w:rPr>
        <w:t xml:space="preserve">our target is never told to collude, and every call we score, give-in or not, has already seen the value and faces the same pressure.</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agent actions from internal states and text, 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injected agents’ decisions within their reasoning.</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fuses an activation monitor with LLM outcome forecasts on AgentDojo. Streaming classifiers stop a model’s output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We study an agent pressed by a peer, compare it only with calls that were also under pressure, ask the same question at different distances from the act on the same calls, and test what a text monitor is asked and what it sees.</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it also carried a single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which also includes the give-in calls, has 4,844 calls (101 give-ins; L.3).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7" name="Picture"/>
            <a:graphic>
              <a:graphicData uri="http://schemas.openxmlformats.org/drawingml/2006/picture">
                <pic:pic>
                  <pic:nvPicPr>
                    <pic:cNvPr descr="figures/figure1_setup.png" id="18" name="Picture"/>
                    <pic:cNvPicPr>
                      <a:picLocks noChangeArrowheads="1" noChangeAspect="1"/>
                    </pic:cNvPicPr>
                  </pic:nvPicPr>
                  <pic:blipFill>
                    <a:blip r:embed="rId16"/>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9"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19"/>
    </w:p>
    <w:p>
      <w:pPr>
        <w:pStyle w:val="Heading3"/>
        <w:keepNext/>
        <w:spacing w:before="200" w:lineRule="auto"/>
        <w:rPr>
          <w:rFonts w:ascii="Old Standard TT" w:cs="Old Standard TT" w:eastAsia="Old Standard TT" w:hAnsi="Old Standard TT"/>
          <w:b w:val="1"/>
          <w:bCs w:val="1"/>
          <w:color w:val="000000"/>
          <w:sz w:val="26"/>
          <w:szCs w:val="26"/>
        </w:rPr>
      </w:pPr>
      <w:bookmarkStart w:id="20" w:name="_49d7020ce8d99d54ef2f42ab4174e0619897c95"/>
      <w:r>
        <w:rPr>
          <w:rFonts w:ascii="Old Standard TT" w:hAnsi="Old Standard TT"/>
          <w:b/>
          <w:sz w:val="26"/>
        </w:rPr>
        <w:t xml:space="preserve">3.3 What gets scored</w:t>
      </w:r>
      <w:bookmarkEnd w:id="20"/>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r>
        <w:rPr>
          <w:rFonts w:ascii="XCharter" w:hAnsi="XCharter" w:cs="XCharter" w:eastAsia="XCharter"/>
          <w:sz w:val="22"/>
        </w:rPr>
        <w:t xml:space="preserve"> </w:t>
      </w:r>
      <w:r>
        <w:rPr>
          <w:rFonts w:ascii="XCharter" w:hAnsi="XCharter" w:cs="XCharter" w:eastAsia="XCharter"/>
          <w:b/>
          <w:bCs/>
          <w:sz w:val="22"/>
        </w:rPr>
        <w:t xml:space="preserve">k calls ahead</w:t>
      </w:r>
      <w:r>
        <w:rPr>
          <w:rFonts w:ascii="XCharter" w:hAnsi="XCharter" w:cs="XCharter" w:eastAsia="XCharter"/>
          <w:sz w:val="22"/>
        </w:rPr>
        <w:t xml:space="preserve"> </w:t>
      </w:r>
      <w:r>
        <w:rPr>
          <w:rFonts w:ascii="XCharter" w:hAnsi="XCharter" w:cs="XCharter" w:eastAsia="XCharter"/>
          <w:sz w:val="22"/>
        </w:rPr>
        <w:t xml:space="preserve">marks the call k calls before that one, with the leaking call itself excluded.</w:t>
      </w:r>
    </w:p>
    <w:p>
      <w:pPr>
        <w:pStyle w:val="FirstParagraph"/>
        <w:widowControl/>
        <w:spacing w:after="0" w:line="259" w:lineRule="auto"/>
        <w:ind w:firstLine="0"/>
        <w:jc w:val="both"/>
      </w:pPr>
      <w:r>
        <w:rPr>
          <w:rFonts w:ascii="XCharter" w:hAnsi="XCharter" w:cs="XCharter" w:eastAsia="XCharter"/>
          <w:sz w:val="22"/>
        </w:rPr>
        <w:t xml:space="preserve">The outcome is the</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(an operational endpoint, including accidental disclosures), except for the gpt-oss-20b per-call label, which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w:t>
      </w:r>
      <w:r>
        <w:rPr>
          <w:rFonts w:ascii="XCharter" w:hAnsi="XCharter" w:cs="XCharter" w:eastAsia="XCharter"/>
          <w:sz w:val="22"/>
        </w:rPr>
        <w:t xml:space="preserve">of the value in the answer or tool arguments (143 of its 146 leaking calls are tool-argument writes;</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The rules differ because gpt-oss-20b almost always writes the value to a file before it posts it, and its analysis ends at that first public emission, so only 3 of its scored calls are first channel posts; Qwen3-32B uses the give-in rule.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detectors"/>
      <w:r>
        <w:rPr>
          <w:rFonts w:ascii="Old Standard TT" w:hAnsi="Old Standard TT"/>
          <w:b/>
          <w:sz w:val="26"/>
        </w:rPr>
        <w:t xml:space="preserve">3.4 Detectors</w:t>
      </w:r>
      <w:bookmarkEnd w:id="21"/>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probe itself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commercial models that return a probability over fixed options instead of text (Jev 1.14 from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from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sees each call’s conversation and tool results (values masked; L.3) and is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calls in the same scenario and round.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throughout,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 Appendices E, H and L.</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saw the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Qwen3-32B gives in on 101 of the 241 scored recruiting episodes (42%; per-scenario rates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control and target-alone episodes never give in (0 of 66 and 0 of 25). gpt-oss-20b gives in on 128 of 300 recruiting episodes,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b697b01ca62393272adcf5507b059bf356c2261"/>
      <w:r>
        <w:rPr>
          <w:rFonts w:ascii="Old Standard TT" w:hAnsi="Old Standard TT"/>
          <w:b/>
          <w:sz w:val="26"/>
        </w:rPr>
        <w:t xml:space="preserve">4.2 Asked per call, a probe predicts which call will give in</w:t>
      </w:r>
      <w:bookmarkEnd w:id="26"/>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ranks the leaking call far above the others on held-out scenarios: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with reasoning; 121 of the 146 leaking calls), before the call generates any token. Jev given the same conversation, tool results and question scores lower on both models: 0.74 on Qwen3-32B (probe minus Jev +0.21 [0.17, 0.28]) and 0.27 on gpt-oss-20b (+0.64 [0.56, 0.71]), where it ranks leaking calls below the rest and flags nearly every pressured call (98% of leaking calls, 87% of refusing calls); reversed post hoc it would score 0.73, still below the probe (+0.18 [0.12, 0.23]). These results bound this judge, question and access, not what the text contains. On gpt-oss-20b, the reasoning probe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and with the alarm cutoff set for 5% of training-side control calls, then measured on held-out calls, it catches 85% of leaking calls against 56% for the last-prompt probe, at 4% against 2% of calls in refusing episodes; Jev reading the same reasoning scores 0.60, and on Qwen3-32B a fixed keyword rule on the latest incoming message 0.64. Frozen with its cutoff before 84 new gpt-oss-20b episodes were collected, the reasoning probe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on them (594 calls, 26 leaking), meeting its pre-stated criterion. At the frozen cutoff it flagged 14/26 leaking calls with reasoning (14/30 including four without), with alarms in 12/490 refusing calls, 7/27 refusing episodes and 4/12 control episodes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2" title="" id="28" name="Picture"/>
            <a:graphic>
              <a:graphicData uri="http://schemas.openxmlformats.org/drawingml/2006/picture">
                <pic:pic>
                  <pic:nvPicPr>
                    <pic:cNvPr descr="figures/figure3_streaming.png" id="29" name="Picture"/>
                    <pic:cNvPicPr>
                      <a:picLocks noChangeArrowheads="1" noChangeAspect="1"/>
                    </pic:cNvPicPr>
                  </pic:nvPicPr>
                  <pic:blipFill>
                    <a:blip r:embed="rId27"/>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0"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gpt-oss-20b positives are any public emission (1,995 calls with reasoning, 121 positive); Qwen3-32B positives use the give-in rule (4,844 calls, 101 positive). The frozen row is the reasoning probe on 84 new episodes. Jev is given either the same conversation and tool results as the last-prompt probe (without earlier same-turn private reasoning) or the call’s reasoning. (b) The nearer the act, the easier to predict: matched ladders, the last-prompt probe refit at each horizon on the same calls (Qwen3-32B, give-in, 4,844 calls; gpt-oss-20b, any public emission, 1,995 calls). Levels are not comparable across the two models. Full caption and sources: Appendix L.6.</w:t>
      </w:r>
      <w:bookmarkEnd w:id="30"/>
    </w:p>
    <w:p>
      <w:pPr>
        <w:pStyle w:val="BodyText"/>
        <w:widowControl/>
        <w:spacing w:after="0" w:line="259" w:lineRule="auto"/>
        <w:ind w:firstLine="0"/>
        <w:jc w:val="both"/>
      </w:pPr>
      <w:r>
        <w:rPr>
          <w:rFonts w:ascii="XCharter" w:hAnsi="XCharter" w:cs="XCharter" w:eastAsia="XCharter"/>
          <w:sz w:val="22"/>
        </w:rPr>
        <w:t xml:space="preserve">The warning is about the call itself: one call earlier, the last-prompt probe scores 0.71 on Qwen3-32B and 0.62 on gpt-oss-20b. On gpt-oss-20b, retraining the round-level last-prompt probe on the per-call label lifts it from 0.49 to 0.91, so the change of question does most of the work, and reading the reasoning adds a modest gain (+0.03 held-out, with an interval reaching zero; +0.07 pooled).</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b21dc55ab05074ea0fc7e23d7e979da2ff589df"/>
      <w:r>
        <w:rPr>
          <w:rFonts w:ascii="Old Standard TT" w:hAnsi="Old Standard TT"/>
          <w:b/>
          <w:sz w:val="26"/>
        </w:rPr>
        <w:t xml:space="preserve">4.3 The ranking survives the obvious shortcuts</w:t>
      </w:r>
      <w:bookmarkEnd w:id="31"/>
    </w:p>
    <w:p>
      <w:pPr>
        <w:pStyle w:val="FirstParagraph"/>
        <w:widowControl/>
        <w:spacing w:after="0" w:line="259" w:lineRule="auto"/>
        <w:ind w:firstLine="0"/>
        <w:jc w:val="both"/>
      </w:pPr>
      <w:r>
        <w:rPr>
          <w:rFonts w:ascii="XCharter" w:hAnsi="XCharter" w:cs="XCharter" w:eastAsia="XCharter"/>
          <w:i/>
          <w:iCs/>
          <w:sz w:val="22"/>
        </w:rPr>
        <w:t xml:space="preserve">Survives the pressure control:</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and on gpt-oss-20b a placebo on calls before the ask scores 0.46 to 0.49.</w:t>
      </w:r>
      <w:r>
        <w:rPr>
          <w:rFonts w:ascii="XCharter" w:hAnsi="XCharter" w:cs="XCharter" w:eastAsia="XCharter"/>
          <w:sz w:val="22"/>
        </w:rPr>
        <w:t xml:space="preserve"> </w:t>
      </w:r>
      <w:r>
        <w:rPr>
          <w:rFonts w:ascii="XCharter" w:hAnsi="XCharter" w:cs="XCharter" w:eastAsia="XCharter"/>
          <w:i/>
          <w:iCs/>
          <w:sz w:val="22"/>
        </w:rPr>
        <w:t xml:space="preserve">Survives the secret-string control:</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cutting the reasoning at the first mention leaves 0.96, and keyword rules score 0.40 to 0.48.</w:t>
      </w:r>
      <w:r>
        <w:rPr>
          <w:rFonts w:ascii="XCharter" w:hAnsi="XCharter" w:cs="XCharter" w:eastAsia="XCharter"/>
          <w:sz w:val="22"/>
        </w:rPr>
        <w:t xml:space="preserve"> </w:t>
      </w:r>
      <w:r>
        <w:rPr>
          <w:rFonts w:ascii="XCharter" w:hAnsi="XCharter" w:cs="XCharter" w:eastAsia="XCharter"/>
          <w:i/>
          <w:iCs/>
          <w:sz w:val="22"/>
        </w:rPr>
        <w:t xml:space="preserve">Not the read-step indicator alone:</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(intervals exclude zero); among calls right after the read they still score 0.93 on gpt-oss-20b and 0.79 on Qwen3-32B. On gpt-oss-20b, a probe on the incoming peer message and tool results alone reaches 0.93 (one seed), so the signal may largely reflect what has just arrived; what it represents is not established. Per-call alarms are not cheap: at the 5% control-call cutoff, 41% of refusing gpt-oss-20b episodes see at least one reasoning-probe alarm, and 11% of refusing Qwen3-32B calls alarm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887172a3e796cb0419e143a2a599ee2332deb2b"/>
      <w:r>
        <w:rPr>
          <w:rFonts w:ascii="Old Standard TT" w:hAnsi="Old Standard TT"/>
          <w:b/>
          <w:sz w:val="26"/>
        </w:rPr>
        <w:t xml:space="preserve">4.4 The further from the act, the less predictable</w:t>
      </w:r>
      <w:bookmarkEnd w:id="32"/>
    </w:p>
    <w:p>
      <w:pPr>
        <w:pStyle w:val="FirstParagraph"/>
        <w:widowControl/>
        <w:spacing w:after="0" w:line="259" w:lineRule="auto"/>
        <w:ind w:firstLine="0"/>
        <w:jc w:val="both"/>
      </w:pPr>
      <w:r>
        <w:rPr>
          <w:rFonts w:ascii="XCharter" w:hAnsi="XCharter" w:cs="XCharter" w:eastAsia="XCharter"/>
          <w:sz w:val="22"/>
        </w:rPr>
        <w:t xml:space="preserve">Refit on the same calls at each horizon, the last-prompt probe climbs from eventual to this round or the next to this call: 0.54 → 0.67 → 0.95 on Qwen3-32B (4,844 calls) and 0.61 → 0.64 → 0.91 on gpt-oss-20b (1,995 calls;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These matched rungs are post hoc and include the give-in calls, so the Qwen3-32B near-term rung (0.67) sits above the round-level 0.58 on pre-emission calls. The matched rungs are exploratory; the confirmed results are the round-level near-term result below and the per-call gpt-oss-20b reasoning probe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3. Predicting eventual and near-term give-in" title="" id="34" name="Picture"/>
            <a:graphic>
              <a:graphicData uri="http://schemas.openxmlformats.org/drawingml/2006/picture">
                <pic:pic>
                  <pic:nvPicPr>
                    <pic:cNvPr descr="figures/figure2_prediction.png" id="35" name="Picture"/>
                    <pic:cNvPicPr>
                      <a:picLocks noChangeArrowheads="1" noChangeAspect="1"/>
                    </pic:cNvPicPr>
                  </pic:nvPicPr>
                  <pic:blipFill>
                    <a:blip r:embed="rId33"/>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6"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6"/>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0.58 and the best monitor, the Jev forecaster seeing everything the target saw, 0.65. On 89 new episodes collected after the plan was fixed and scored once (1,787 calls, 82 positives), the probe reached 0.68 and Jev 0.64, both clear of chance (Jev − probe −0.04 [−0.14, +0.06]). A separate probe that separates pressured from unpressured calls perfectly (AUROC 1.00) does not rank who gives in (0.44 on the</w:t>
      </w:r>
      <w:r>
        <w:rPr>
          <w:rFonts w:ascii="XCharter" w:hAnsi="XCharter" w:cs="XCharter" w:eastAsia="XCharter"/>
          <w:sz w:val="22"/>
        </w:rPr>
        <w:t xml:space="preserve"> </w:t>
      </w:r>
      <w:r>
        <w:rPr>
          <w:rFonts w:ascii="XCharter" w:hAnsi="XCharter" w:cs="XCharter" w:eastAsia="XCharter"/>
          <w:b/>
          <w:bCs/>
          <w:sz w:val="22"/>
        </w:rPr>
        <w:t xml:space="preserve">first data batch</w:t>
      </w:r>
      <w:r>
        <w:rPr>
          <w:rFonts w:ascii="XCharter" w:hAnsi="XCharter" w:cs="XCharter" w:eastAsia="XCharter"/>
          <w:sz w:val="22"/>
        </w:rPr>
        <w:t xml:space="preserve">, the episodes collected before the new-episode set;</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 with an interval that includes chance, and the Jev forecaster 0.58 (998 eventual positives;</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32 of its 128 channel give-ins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53a442ad08630cd2bdfad9b210d65fb18fbeef1"/>
      <w:r>
        <w:rPr>
          <w:rFonts w:ascii="Old Standard TT" w:hAnsi="Old Standard TT"/>
          <w:b/>
          <w:sz w:val="26"/>
        </w:rPr>
        <w:t xml:space="preserve">4.5 What a round-level monitor should ask and see</w:t>
      </w:r>
      <w:bookmarkEnd w:id="37"/>
    </w:p>
    <w:p>
      <w:pPr>
        <w:pStyle w:val="FirstParagraph"/>
        <w:widowControl/>
        <w:spacing w:after="0" w:line="259" w:lineRule="auto"/>
        <w:ind w:firstLine="0"/>
        <w:jc w:val="both"/>
      </w:pPr>
      <w:r>
        <w:rPr>
          <w:rFonts w:ascii="XCharter" w:hAnsi="XCharter" w:cs="XCharter" w:eastAsia="XCharter"/>
          <w:sz w:val="22"/>
        </w:rPr>
        <w:t xml:space="preserve">Asked to forecast, Jev scores 0.65 on the near-term label; asked to detect, 0.58. On the first data batch, showing the Jev forecaster the peer’s messages on top of the target’s actions raises its score by 0.12 [0.06, 0.18], while adding everything else the target saw adds only 0.03 [−0.00, 0.05]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helps only the weaker monitor: GPT-5-nano gains +0.08 pooled and +0.11 on the new episodes, but +0.02 held-out (not significant), and Jev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8" w:name="_cbd875682116f3153fa9a8f9c77c00f8b5fdab1"/>
      <w:r>
        <w:rPr>
          <w:rFonts w:ascii="Old Standard TT" w:hAnsi="Old Standard TT"/>
          <w:b/>
          <w:sz w:val="28"/>
        </w:rPr>
        <w:t xml:space="preserve">5. Discussion and Limitations</w:t>
      </w:r>
      <w:bookmarkEnd w:id="38"/>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 Each rung is a different point to intervene, from flagging an episode early to holding one call.</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and an exact-string output filter would also catch our leaks. A tool-call blocker alone would not: 127 of gpt-oss-20b’s 128 channel give-ins and 48 of Qwen3-32B’s 98 behaviour-slice give-ins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Qwen3-32B per-call probe scores 0.92 on give-ins in plain text, not only 0.98 on tool arguments. A pre-generation warning also allows softer interventions (pause, escalate, ask a human), and values can be paraphrased or encoded where no string matches; this setup does not test such leaks.</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monitor like Jev to forecast, and show it the peer’s messages.</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limitations"/>
      <w:r>
        <w:rPr>
          <w:rFonts w:ascii="Old Standard TT" w:hAnsi="Old Standard TT"/>
          <w:b/>
          <w:sz w:val="26"/>
        </w:rPr>
        <w:t xml:space="preserve">Limitations</w:t>
      </w:r>
      <w:bookmarkEnd w:id="39"/>
    </w:p>
    <w:p>
      <w:pPr>
        <w:pStyle w:val="FirstParagraph"/>
        <w:widowControl/>
        <w:spacing w:after="0" w:line="259" w:lineRule="auto"/>
        <w:ind w:firstLine="0"/>
        <w:jc w:val="both"/>
      </w:pPr>
      <w:r>
        <w:rPr>
          <w:rFonts w:ascii="XCharter" w:hAnsi="XCharter" w:cs="XCharter" w:eastAsia="XCharter"/>
          <w:sz w:val="22"/>
        </w:rPr>
        <w:t xml:space="preserve">The per-call last-prompt results are post hoc; only the gpt-oss-20b reasoning probe was confirmed, on 26 leaking calls. One peer and one target in six scenarios from one template, on two models; larger multi-agent settings are future work. The warning is about the current call, and what the probe reads is unknown.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40" w:name="_32691ce30b0dd97ec3690ce7d97c5c9a26aa3b1"/>
      <w:r>
        <w:rPr>
          <w:rFonts w:ascii="Old Standard TT" w:hAnsi="Old Standard TT"/>
          <w:b/>
          <w:sz w:val="26"/>
        </w:rPr>
        <w:t xml:space="preserve">Future Work</w:t>
      </w:r>
      <w:bookmarkEnd w:id="40"/>
    </w:p>
    <w:p>
      <w:pPr>
        <w:pStyle w:val="FirstParagraph"/>
        <w:widowControl/>
        <w:spacing w:after="0" w:line="259" w:lineRule="auto"/>
        <w:ind w:firstLine="0"/>
        <w:jc w:val="both"/>
      </w:pPr>
      <w:r>
        <w:rPr>
          <w:rFonts w:ascii="XCharter" w:hAnsi="XCharter" w:cs="XCharter" w:eastAsia="XCharter"/>
          <w:sz w:val="22"/>
        </w:rPr>
        <w:t xml:space="preserve">Next steps are to score per-call probes in larger multi-agent settings, with several peers, recruited agents that recruit others, and shared boards or memory,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and scenarios,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conclusion"/>
      <w:r>
        <w:rPr>
          <w:rFonts w:ascii="Old Standard TT" w:hAnsi="Old Standard TT"/>
          <w:b/>
          <w:sz w:val="28"/>
        </w:rPr>
        <w:t xml:space="preserve">6. Conclusion</w:t>
      </w:r>
      <w:bookmarkEnd w:id="41"/>
    </w:p>
    <w:p>
      <w:pPr>
        <w:pStyle w:val="FirstParagraph"/>
        <w:widowControl/>
        <w:spacing w:after="0" w:line="259" w:lineRule="auto"/>
        <w:ind w:firstLine="0"/>
        <w:jc w:val="both"/>
      </w:pPr>
      <w:r>
        <w:rPr>
          <w:rFonts w:ascii="XCharter" w:hAnsi="XCharter" w:cs="XCharter" w:eastAsia="XCharter"/>
          <w:sz w:val="22"/>
        </w:rPr>
        <w:t xml:space="preserve">We asked whether an agent’s give-in to a recruiting peer can be seen before it happens. Asked per call, it can: a linear probe on the target’s activations predicts which call will give in, on two models, above the evaluated Jev monitor, and a probe on the streaming reasoning held on new episodes. Further from the act the signal fades, to modest for this round or the next and barely for the eventual outcome. Activation probes can thus flag an agent about to give in before it acts; the next step is to test them against subtler collusion and its spread between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2" w:name="_1f6b0a6dd8de899b0bf2d89a88c0574c2ef490f"/>
      <w:r>
        <w:rPr>
          <w:rFonts w:ascii="Old Standard TT" w:hAnsi="Old Standard TT"/>
          <w:b/>
          <w:sz w:val="28"/>
        </w:rPr>
        <w:t xml:space="preserve">Code and Data</w:t>
      </w:r>
      <w:bookmarkEnd w:id="42"/>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a planning commit with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3" w:name="_references"/>
      <w:r>
        <w:rPr>
          <w:rFonts w:ascii="Old Standard TT" w:hAnsi="Old Standard TT"/>
          <w:b/>
          <w:sz w:val="28"/>
        </w:rPr>
        <w:t xml:space="preserve">References</w:t>
      </w:r>
      <w:bookmarkEnd w:id="43"/>
    </w:p>
    <w:bookmarkStart w:id="138" w:name="_refs"/>
    <w:p>
      <w:pPr>
        <w:pStyle w:val="Bibliography"/>
        <w:widowControl/>
        <w:spacing w:line="259" w:lineRule="auto" w:after="80"/>
        <w:ind w:left="360" w:hanging="360"/>
        <w:jc w:val="left"/>
      </w:pPr>
      <w:bookmarkStart w:id="45"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https://www.alphaxiv.org/abs/2610.frozen-states-future-action-prediction</w:t>
        </w:r>
      </w:hyperlink>
      <w:bookmarkEnd w:id="45"/>
    </w:p>
    <w:p>
      <w:pPr>
        <w:pStyle w:val="Bibliography"/>
        <w:widowControl/>
        <w:spacing w:line="259" w:lineRule="auto" w:after="80"/>
        <w:ind w:left="360" w:hanging="360"/>
        <w:jc w:val="left"/>
      </w:pPr>
      <w:bookmarkStart w:id="47"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https://arxiv.org/abs/2507.01413</w:t>
        </w:r>
      </w:hyperlink>
      <w:bookmarkEnd w:id="47"/>
    </w:p>
    <w:p>
      <w:pPr>
        <w:pStyle w:val="Bibliography"/>
        <w:widowControl/>
        <w:spacing w:line="259" w:lineRule="auto" w:after="80"/>
        <w:ind w:left="360" w:hanging="360"/>
        <w:jc w:val="left"/>
      </w:pPr>
      <w:bookmarkStart w:id="49"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https://typesafe.ai/blog/introducing-system-one-models-and-jev</w:t>
        </w:r>
      </w:hyperlink>
      <w:bookmarkEnd w:id="49"/>
    </w:p>
    <w:p>
      <w:pPr>
        <w:pStyle w:val="Bibliography"/>
        <w:widowControl/>
        <w:spacing w:line="259" w:lineRule="auto" w:after="80"/>
        <w:ind w:left="360" w:hanging="360"/>
        <w:jc w:val="left"/>
      </w:pPr>
      <w:bookmarkStart w:id="51"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https://arxiv.org/abs/2601.21112</w:t>
        </w:r>
      </w:hyperlink>
      <w:bookmarkEnd w:id="51"/>
    </w:p>
    <w:p>
      <w:pPr>
        <w:pStyle w:val="Bibliography"/>
        <w:widowControl/>
        <w:spacing w:line="259" w:lineRule="auto" w:after="80"/>
        <w:ind w:left="360" w:hanging="360"/>
        <w:jc w:val="left"/>
      </w:pPr>
      <w:bookmarkStart w:id="53"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https://arxiv.org/abs/2502.13329</w:t>
        </w:r>
      </w:hyperlink>
      <w:bookmarkEnd w:id="53"/>
    </w:p>
    <w:p>
      <w:pPr>
        <w:pStyle w:val="Bibliography"/>
        <w:widowControl/>
        <w:spacing w:line="259" w:lineRule="auto" w:after="80"/>
        <w:ind w:left="360" w:hanging="360"/>
        <w:jc w:val="left"/>
      </w:pPr>
      <w:bookmarkStart w:id="55"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https://arxiv.org/abs/2512.03097</w:t>
        </w:r>
      </w:hyperlink>
      <w:bookmarkEnd w:id="55"/>
    </w:p>
    <w:p>
      <w:pPr>
        <w:pStyle w:val="Bibliography"/>
        <w:widowControl/>
        <w:spacing w:line="259" w:lineRule="auto" w:after="80"/>
        <w:ind w:left="360" w:hanging="360"/>
        <w:jc w:val="left"/>
      </w:pPr>
      <w:bookmarkStart w:id="57"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https://doi.org/10.1145/3786335.3813181</w:t>
        </w:r>
      </w:hyperlink>
      <w:bookmarkEnd w:id="57"/>
    </w:p>
    <w:p>
      <w:pPr>
        <w:pStyle w:val="Bibliography"/>
        <w:widowControl/>
        <w:spacing w:line="259" w:lineRule="auto" w:after="80"/>
        <w:ind w:left="360" w:hanging="360"/>
        <w:jc w:val="left"/>
      </w:pPr>
      <w:bookmarkStart w:id="59"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https://arxiv.org/abs/2601.04603</w:t>
        </w:r>
      </w:hyperlink>
      <w:bookmarkEnd w:id="59"/>
    </w:p>
    <w:p>
      <w:pPr>
        <w:pStyle w:val="Bibliography"/>
        <w:widowControl/>
        <w:spacing w:line="259" w:lineRule="auto" w:after="80"/>
        <w:ind w:left="360" w:hanging="360"/>
        <w:jc w:val="left"/>
      </w:pPr>
      <w:bookmarkStart w:id="61"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https://arxiv.org/abs/2406.13352</w:t>
        </w:r>
      </w:hyperlink>
      <w:bookmarkEnd w:id="61"/>
    </w:p>
    <w:p>
      <w:pPr>
        <w:pStyle w:val="Bibliography"/>
        <w:widowControl/>
        <w:spacing w:line="259" w:lineRule="auto" w:after="80"/>
        <w:ind w:left="360" w:hanging="360"/>
        <w:jc w:val="left"/>
      </w:pPr>
      <w:bookmarkStart w:id="63"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https://openrouter.ai/deepseek/deepseek-v4-flash</w:t>
        </w:r>
      </w:hyperlink>
      <w:bookmarkEnd w:id="63"/>
    </w:p>
    <w:p>
      <w:pPr>
        <w:pStyle w:val="Bibliography"/>
        <w:widowControl/>
        <w:spacing w:line="259" w:lineRule="auto" w:after="80"/>
        <w:ind w:left="360" w:hanging="360"/>
        <w:jc w:val="left"/>
      </w:pPr>
      <w:bookmarkStart w:id="65"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https://arxiv.org/abs/2608.02657</w:t>
        </w:r>
      </w:hyperlink>
      <w:bookmarkEnd w:id="65"/>
    </w:p>
    <w:p>
      <w:pPr>
        <w:pStyle w:val="Bibliography"/>
        <w:widowControl/>
        <w:spacing w:line="259" w:lineRule="auto" w:after="80"/>
        <w:ind w:left="360" w:hanging="360"/>
        <w:jc w:val="left"/>
      </w:pPr>
      <w:bookmarkStart w:id="67"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https://arxiv.org/abs/2610.17301</w:t>
        </w:r>
      </w:hyperlink>
      <w:bookmarkEnd w:id="67"/>
    </w:p>
    <w:p>
      <w:pPr>
        <w:pStyle w:val="Bibliography"/>
        <w:widowControl/>
        <w:spacing w:line="259" w:lineRule="auto" w:after="80"/>
        <w:ind w:left="360" w:hanging="360"/>
        <w:jc w:val="left"/>
      </w:pPr>
      <w:bookmarkStart w:id="69"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https://arxiv.org/abs/2404.00806</w:t>
        </w:r>
      </w:hyperlink>
      <w:bookmarkEnd w:id="69"/>
    </w:p>
    <w:p>
      <w:pPr>
        <w:pStyle w:val="Bibliography"/>
        <w:widowControl/>
        <w:spacing w:line="259" w:lineRule="auto" w:after="80"/>
        <w:ind w:left="360" w:hanging="360"/>
        <w:jc w:val="left"/>
      </w:pPr>
      <w:bookmarkStart w:id="71"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https://arxiv.org/abs/2606.30449</w:t>
        </w:r>
      </w:hyperlink>
      <w:bookmarkEnd w:id="71"/>
    </w:p>
    <w:p>
      <w:pPr>
        <w:pStyle w:val="Bibliography"/>
        <w:widowControl/>
        <w:spacing w:line="259" w:lineRule="auto" w:after="80"/>
        <w:ind w:left="360" w:hanging="360"/>
        <w:jc w:val="left"/>
      </w:pPr>
      <w:bookmarkStart w:id="73"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https://arxiv.org/abs/2610.04575</w:t>
        </w:r>
      </w:hyperlink>
      <w:bookmarkEnd w:id="73"/>
    </w:p>
    <w:p>
      <w:pPr>
        <w:pStyle w:val="Bibliography"/>
        <w:widowControl/>
        <w:spacing w:line="259" w:lineRule="auto" w:after="80"/>
        <w:ind w:left="360" w:hanging="360"/>
        <w:jc w:val="left"/>
      </w:pPr>
      <w:bookmarkStart w:id="75"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https://arxiv.org/abs/2502.03407</w:t>
        </w:r>
      </w:hyperlink>
      <w:bookmarkEnd w:id="75"/>
    </w:p>
    <w:p>
      <w:pPr>
        <w:pStyle w:val="Bibliography"/>
        <w:widowControl/>
        <w:spacing w:line="259" w:lineRule="auto" w:after="80"/>
        <w:ind w:left="360" w:hanging="360"/>
        <w:jc w:val="left"/>
      </w:pPr>
      <w:bookmarkStart w:id="77"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7"/>
    </w:p>
    <w:p>
      <w:pPr>
        <w:pStyle w:val="Bibliography"/>
        <w:widowControl/>
        <w:spacing w:line="259" w:lineRule="auto" w:after="80"/>
        <w:ind w:left="360" w:hanging="360"/>
        <w:jc w:val="left"/>
      </w:pPr>
      <w:bookmarkStart w:id="79"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https://github.com/UKGovernmentBEIS/control-arena</w:t>
        </w:r>
      </w:hyperlink>
      <w:bookmarkEnd w:id="79"/>
    </w:p>
    <w:p>
      <w:pPr>
        <w:pStyle w:val="Bibliography"/>
        <w:widowControl/>
        <w:spacing w:line="259" w:lineRule="auto" w:after="80"/>
        <w:ind w:left="360" w:hanging="360"/>
        <w:jc w:val="left"/>
      </w:pPr>
      <w:bookmarkStart w:id="81" w:name="_47a14f87b50f826fa97c5a2719a69f05762d3bd"/>
      <w:r>
        <w:rPr>
          <w:rFonts w:ascii="XCharter" w:hAnsi="XCharter" w:cs="XCharter" w:eastAsia="XCharter"/>
          <w:sz w:val="22"/>
        </w:rPr>
        <w:t xml:space="preserve">Jia, H., Liu, Y., Chong, B., Yang, Y., Chen, Y., Liang, J., Li, Q., Lu, H., Xu, K., Zheng, H., Zhang, C., Huang, Y., Zhang, J., Qi, Y., Lin, Y., &amp; Peng, H. (2026).</w:t>
      </w:r>
      <w:r>
        <w:rPr>
          <w:rFonts w:ascii="XCharter" w:hAnsi="XCharter" w:cs="XCharter" w:eastAsia="XCharter"/>
          <w:sz w:val="22"/>
        </w:rPr>
        <w:t xml:space="preserve"> </w:t>
      </w:r>
      <w:r>
        <w:rPr>
          <w:rFonts w:ascii="XCharter" w:hAnsi="XCharter" w:cs="XCharter" w:eastAsia="XCharter"/>
          <w:i/>
          <w:iCs/>
          <w:sz w:val="22"/>
        </w:rPr>
        <w:t xml:space="preserve">The window is in the reasoning: When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decide to follow prompt injections</w:t>
      </w:r>
      <w:r>
        <w:rPr>
          <w:rFonts w:ascii="XCharter" w:hAnsi="XCharter" w:cs="XCharter" w:eastAsia="XCharter"/>
          <w:sz w:val="22"/>
        </w:rPr>
        <w:t xml:space="preserve">. arXiv preprint arXiv:2610.24048.</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https://arxiv.org/abs/2610.24048</w:t>
        </w:r>
      </w:hyperlink>
      <w:bookmarkEnd w:id="81"/>
    </w:p>
    <w:p>
      <w:pPr>
        <w:pStyle w:val="Bibliography"/>
        <w:widowControl/>
        <w:spacing w:line="259" w:lineRule="auto" w:after="80"/>
        <w:ind w:left="360" w:hanging="360"/>
        <w:jc w:val="left"/>
      </w:pPr>
      <w:bookmarkStart w:id="83"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https://arxiv.org/abs/2411.03343</w:t>
        </w:r>
      </w:hyperlink>
      <w:bookmarkEnd w:id="83"/>
    </w:p>
    <w:p>
      <w:pPr>
        <w:pStyle w:val="Bibliography"/>
        <w:widowControl/>
        <w:spacing w:line="259" w:lineRule="auto" w:after="80"/>
        <w:ind w:left="360" w:hanging="360"/>
        <w:jc w:val="left"/>
      </w:pPr>
      <w:bookmarkStart w:id="85"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https://arxiv.org/abs/2606.11172</w:t>
        </w:r>
      </w:hyperlink>
      <w:bookmarkEnd w:id="85"/>
    </w:p>
    <w:p>
      <w:pPr>
        <w:pStyle w:val="Bibliography"/>
        <w:widowControl/>
        <w:spacing w:line="259" w:lineRule="auto" w:after="80"/>
        <w:ind w:left="360" w:hanging="360"/>
        <w:jc w:val="left"/>
      </w:pPr>
      <w:bookmarkStart w:id="87"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https://arxiv.org/abs/2601.11516</w:t>
        </w:r>
      </w:hyperlink>
      <w:bookmarkEnd w:id="87"/>
    </w:p>
    <w:p>
      <w:pPr>
        <w:pStyle w:val="Bibliography"/>
        <w:widowControl/>
        <w:spacing w:line="259" w:lineRule="auto" w:after="80"/>
        <w:ind w:left="360" w:hanging="360"/>
        <w:jc w:val="left"/>
      </w:pPr>
      <w:bookmarkStart w:id="89"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https://arxiv.org/abs/2410.00031</w:t>
        </w:r>
      </w:hyperlink>
      <w:bookmarkEnd w:id="89"/>
    </w:p>
    <w:p>
      <w:pPr>
        <w:pStyle w:val="Bibliography"/>
        <w:widowControl/>
        <w:spacing w:line="259" w:lineRule="auto" w:after="80"/>
        <w:ind w:left="360" w:hanging="360"/>
        <w:jc w:val="left"/>
      </w:pPr>
      <w:bookmarkStart w:id="91"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https://www.usenix.org/conference/usenixsecurity24/presentation/liu-yupei</w:t>
        </w:r>
      </w:hyperlink>
      <w:bookmarkEnd w:id="91"/>
    </w:p>
    <w:p>
      <w:pPr>
        <w:pStyle w:val="Bibliography"/>
        <w:widowControl/>
        <w:spacing w:line="259" w:lineRule="auto" w:after="80"/>
        <w:ind w:left="360" w:hanging="360"/>
        <w:jc w:val="left"/>
      </w:pPr>
      <w:bookmarkStart w:id="93"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https://www.anthropic.com/news/probes-catch-sleeper-agents</w:t>
        </w:r>
      </w:hyperlink>
      <w:bookmarkEnd w:id="93"/>
    </w:p>
    <w:p>
      <w:pPr>
        <w:pStyle w:val="Bibliography"/>
        <w:widowControl/>
        <w:spacing w:line="259" w:lineRule="auto" w:after="80"/>
        <w:ind w:left="360" w:hanging="360"/>
        <w:jc w:val="left"/>
      </w:pPr>
      <w:bookmarkStart w:id="95"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https://arxiv.org/abs/2506.10805</w:t>
        </w:r>
      </w:hyperlink>
      <w:bookmarkEnd w:id="95"/>
    </w:p>
    <w:p>
      <w:pPr>
        <w:pStyle w:val="Bibliography"/>
        <w:widowControl/>
        <w:spacing w:line="259" w:lineRule="auto" w:after="80"/>
        <w:ind w:left="360" w:hanging="360"/>
        <w:jc w:val="left"/>
      </w:pPr>
      <w:bookmarkStart w:id="97"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https://arxiv.org/abs/2602.15198</w:t>
        </w:r>
      </w:hyperlink>
      <w:bookmarkEnd w:id="97"/>
    </w:p>
    <w:p>
      <w:pPr>
        <w:pStyle w:val="Bibliography"/>
        <w:widowControl/>
        <w:spacing w:line="259" w:lineRule="auto" w:after="80"/>
        <w:ind w:left="360" w:hanging="360"/>
        <w:jc w:val="left"/>
      </w:pPr>
      <w:bookmarkStart w:id="99"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https://platform.openai.com/docs/models/gpt-5-nano</w:t>
        </w:r>
      </w:hyperlink>
      <w:bookmarkEnd w:id="99"/>
    </w:p>
    <w:p>
      <w:pPr>
        <w:pStyle w:val="Bibliography"/>
        <w:widowControl/>
        <w:spacing w:line="259" w:lineRule="auto" w:after="80"/>
        <w:ind w:left="360" w:hanging="360"/>
        <w:jc w:val="left"/>
      </w:pPr>
      <w:bookmarkStart w:id="101"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https://arxiv.org/abs/2508.10925</w:t>
        </w:r>
      </w:hyperlink>
      <w:bookmarkEnd w:id="101"/>
    </w:p>
    <w:p>
      <w:pPr>
        <w:pStyle w:val="Bibliography"/>
        <w:widowControl/>
        <w:spacing w:line="259" w:lineRule="auto" w:after="80"/>
        <w:ind w:left="360" w:hanging="360"/>
        <w:jc w:val="left"/>
      </w:pPr>
      <w:bookmarkStart w:id="103"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https://huggingface.co/openai/gpt-oss-20b</w:t>
        </w:r>
      </w:hyperlink>
      <w:bookmarkEnd w:id="103"/>
    </w:p>
    <w:p>
      <w:pPr>
        <w:pStyle w:val="Bibliography"/>
        <w:widowControl/>
        <w:spacing w:line="259" w:lineRule="auto" w:after="80"/>
        <w:ind w:left="360" w:hanging="360"/>
        <w:jc w:val="left"/>
      </w:pPr>
      <w:bookmarkStart w:id="105"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https://openrouter.ai/openai/gpt-6-luna-decisions</w:t>
        </w:r>
      </w:hyperlink>
      <w:bookmarkEnd w:id="105"/>
    </w:p>
    <w:p>
      <w:pPr>
        <w:pStyle w:val="Bibliography"/>
        <w:widowControl/>
        <w:spacing w:line="259" w:lineRule="auto" w:after="80"/>
        <w:ind w:left="360" w:hanging="360"/>
        <w:jc w:val="left"/>
      </w:pPr>
      <w:bookmarkStart w:id="107"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7"/>
    </w:p>
    <w:p>
      <w:pPr>
        <w:pStyle w:val="Bibliography"/>
        <w:widowControl/>
        <w:spacing w:line="259" w:lineRule="auto" w:after="80"/>
        <w:ind w:left="360" w:hanging="360"/>
        <w:jc w:val="left"/>
      </w:pPr>
      <w:bookmarkStart w:id="109"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https://arxiv.org/abs/2609.35576</w:t>
        </w:r>
      </w:hyperlink>
      <w:bookmarkEnd w:id="109"/>
    </w:p>
    <w:p>
      <w:pPr>
        <w:pStyle w:val="Bibliography"/>
        <w:widowControl/>
        <w:spacing w:line="259" w:lineRule="auto" w:after="80"/>
        <w:ind w:left="360" w:hanging="360"/>
        <w:jc w:val="left"/>
      </w:pPr>
      <w:bookmarkStart w:id="111"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https://huggingface.co/Qwen/Qwen3-32B</w:t>
        </w:r>
      </w:hyperlink>
      <w:bookmarkEnd w:id="111"/>
    </w:p>
    <w:p>
      <w:pPr>
        <w:pStyle w:val="Bibliography"/>
        <w:widowControl/>
        <w:spacing w:line="259" w:lineRule="auto" w:after="80"/>
        <w:ind w:left="360" w:hanging="360"/>
        <w:jc w:val="left"/>
      </w:pPr>
      <w:bookmarkStart w:id="113"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https://arxiv.org/abs/2605.29178</w:t>
        </w:r>
      </w:hyperlink>
      <w:bookmarkEnd w:id="113"/>
    </w:p>
    <w:p>
      <w:pPr>
        <w:pStyle w:val="Bibliography"/>
        <w:widowControl/>
        <w:spacing w:line="259" w:lineRule="auto" w:after="80"/>
        <w:ind w:left="360" w:hanging="360"/>
        <w:jc w:val="left"/>
      </w:pPr>
      <w:bookmarkStart w:id="115"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https://arxiv.org/abs/2604.01151</w:t>
        </w:r>
      </w:hyperlink>
      <w:bookmarkEnd w:id="115"/>
    </w:p>
    <w:p>
      <w:pPr>
        <w:pStyle w:val="Bibliography"/>
        <w:widowControl/>
        <w:spacing w:line="259" w:lineRule="auto" w:after="80"/>
        <w:ind w:left="360" w:hanging="360"/>
        <w:jc w:val="left"/>
      </w:pPr>
      <w:bookmarkStart w:id="117"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https://arxiv.org/abs/2607.06503</w:t>
        </w:r>
      </w:hyperlink>
      <w:bookmarkEnd w:id="117"/>
    </w:p>
    <w:p>
      <w:pPr>
        <w:pStyle w:val="Bibliography"/>
        <w:widowControl/>
        <w:spacing w:line="259" w:lineRule="auto" w:after="80"/>
        <w:ind w:left="360" w:hanging="360"/>
        <w:jc w:val="left"/>
      </w:pPr>
      <w:bookmarkStart w:id="119"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https://github.com/soham-padia/pre-sycophancy-study</w:t>
        </w:r>
      </w:hyperlink>
      <w:bookmarkEnd w:id="119"/>
    </w:p>
    <w:p>
      <w:pPr>
        <w:pStyle w:val="Bibliography"/>
        <w:widowControl/>
        <w:spacing w:line="259" w:lineRule="auto" w:after="80"/>
        <w:ind w:left="360" w:hanging="360"/>
        <w:jc w:val="left"/>
      </w:pPr>
      <w:bookmarkStart w:id="121"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https://arxiv.org/abs/2501.18837</w:t>
        </w:r>
      </w:hyperlink>
      <w:bookmarkEnd w:id="121"/>
    </w:p>
    <w:p>
      <w:pPr>
        <w:pStyle w:val="Bibliography"/>
        <w:widowControl/>
        <w:spacing w:line="259" w:lineRule="auto" w:after="80"/>
        <w:ind w:left="360" w:hanging="360"/>
        <w:jc w:val="left"/>
      </w:pPr>
      <w:bookmarkStart w:id="123"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https://arxiv.org/abs/2607.05132</w:t>
        </w:r>
      </w:hyperlink>
      <w:bookmarkEnd w:id="123"/>
    </w:p>
    <w:p>
      <w:pPr>
        <w:pStyle w:val="Bibliography"/>
        <w:widowControl/>
        <w:spacing w:line="259" w:lineRule="auto" w:after="80"/>
        <w:ind w:left="360" w:hanging="360"/>
        <w:jc w:val="left"/>
      </w:pPr>
      <w:bookmarkStart w:id="125"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https://arxiv.org/abs/2609.24967</w:t>
        </w:r>
      </w:hyperlink>
      <w:bookmarkEnd w:id="125"/>
    </w:p>
    <w:p>
      <w:pPr>
        <w:pStyle w:val="Bibliography"/>
        <w:widowControl/>
        <w:spacing w:line="259" w:lineRule="auto" w:after="80"/>
        <w:ind w:left="360" w:hanging="360"/>
        <w:jc w:val="left"/>
      </w:pPr>
      <w:bookmarkStart w:id="127"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https://arxiv.org/abs/2609.09090</w:t>
        </w:r>
      </w:hyperlink>
      <w:bookmarkEnd w:id="127"/>
    </w:p>
    <w:p>
      <w:pPr>
        <w:pStyle w:val="Bibliography"/>
        <w:widowControl/>
        <w:spacing w:line="259" w:lineRule="auto" w:after="80"/>
        <w:ind w:left="360" w:hanging="360"/>
        <w:jc w:val="left"/>
      </w:pPr>
      <w:bookmarkStart w:id="129"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https://arxiv.org/abs/2603.13940</w:t>
        </w:r>
      </w:hyperlink>
      <w:bookmarkEnd w:id="129"/>
    </w:p>
    <w:p>
      <w:pPr>
        <w:pStyle w:val="Bibliography"/>
        <w:widowControl/>
        <w:spacing w:line="259" w:lineRule="auto" w:after="80"/>
        <w:ind w:left="360" w:hanging="360"/>
        <w:jc w:val="left"/>
      </w:pPr>
      <w:bookmarkStart w:id="131"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https://arxiv.org/abs/2604.16824</w:t>
        </w:r>
      </w:hyperlink>
      <w:bookmarkEnd w:id="131"/>
    </w:p>
    <w:p>
      <w:pPr>
        <w:pStyle w:val="Bibliography"/>
        <w:widowControl/>
        <w:spacing w:line="259" w:lineRule="auto" w:after="80"/>
        <w:ind w:left="360" w:hanging="360"/>
        <w:jc w:val="left"/>
      </w:pPr>
      <w:bookmarkStart w:id="133"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2">
        <w:r>
          <w:rPr>
            <w:rStyle w:val="Hyperlink"/>
            <w:rFonts w:ascii="XCharter" w:hAnsi="XCharter" w:cs="XCharter" w:eastAsia="XCharter"/>
            <w:color w:val="000080"/>
            <w:sz w:val="22"/>
            <w:u w:val="none"/>
          </w:rPr>
          <w:t xml:space="preserve">https://arxiv.org/abs/2505.09388</w:t>
        </w:r>
      </w:hyperlink>
      <w:bookmarkEnd w:id="133"/>
    </w:p>
    <w:p>
      <w:pPr>
        <w:pStyle w:val="Bibliography"/>
        <w:widowControl/>
        <w:spacing w:line="259" w:lineRule="auto" w:after="80"/>
        <w:ind w:left="360" w:hanging="360"/>
        <w:jc w:val="left"/>
      </w:pPr>
      <w:bookmarkStart w:id="135"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4">
        <w:r>
          <w:rPr>
            <w:rStyle w:val="Hyperlink"/>
            <w:rFonts w:ascii="XCharter" w:hAnsi="XCharter" w:cs="XCharter" w:eastAsia="XCharter"/>
            <w:color w:val="000080"/>
            <w:sz w:val="22"/>
            <w:u w:val="none"/>
          </w:rPr>
          <w:t xml:space="preserve">https://arxiv.org/abs/2610.05295</w:t>
        </w:r>
      </w:hyperlink>
      <w:bookmarkEnd w:id="135"/>
    </w:p>
    <w:p>
      <w:pPr>
        <w:pStyle w:val="Bibliography"/>
        <w:widowControl/>
        <w:spacing w:line="259" w:lineRule="auto" w:after="80"/>
        <w:ind w:left="360" w:hanging="360"/>
        <w:jc w:val="left"/>
      </w:pPr>
      <w:bookmarkStart w:id="137"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6">
        <w:r>
          <w:rPr>
            <w:rStyle w:val="Hyperlink"/>
            <w:rFonts w:ascii="XCharter" w:hAnsi="XCharter" w:cs="XCharter" w:eastAsia="XCharter"/>
            <w:color w:val="000080"/>
            <w:sz w:val="22"/>
            <w:u w:val="none"/>
          </w:rPr>
          <w:t xml:space="preserve">https://arxiv.org/abs/2605.27593</w:t>
        </w:r>
      </w:hyperlink>
      <w:bookmarkEnd w:id="137"/>
    </w:p>
    <w:bookmarkEnd w:id="138"/>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9" w:name="_appendix"/>
      <w:r>
        <w:rPr>
          <w:rFonts w:ascii="Old Standard TT" w:hAnsi="Old Standard TT"/>
          <w:b/>
          <w:sz w:val="28"/>
        </w:rPr>
        <w:t xml:space="preserve">Appendix</w:t>
      </w:r>
      <w:bookmarkEnd w:id="139"/>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 (for the gpt-oss-20b per-call label, any public emission;</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0" w:name="_d863e5dd50f3a2c5a9f9d67c38d6db1a7983c65"/>
      <w:r>
        <w:rPr>
          <w:rFonts w:ascii="Old Standard TT" w:hAnsi="Old Standard TT"/>
          <w:b/>
          <w:sz w:val="26"/>
        </w:rPr>
        <w:t xml:space="preserve">A. Limitations and Dual-Use / Ethical Considerations</w:t>
      </w:r>
      <w:bookmarkEnd w:id="140"/>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In six synthetic scenarios built from one task template, it establishes that whether this call gives in is highly readable from the target’s activations before the call acts, on both models (post hoc, except the gpt-oss-20b reasoning probe, confirmed on new episodes), above a decision-model monitor given the same conversation; that predictability rises toward the act; and that on Qwen3-32B give-in this round or the next is modestly predictable, which held on new episodes. It does not establish advance warning across calls or rounds, what the probe reads, how the detectors would perform as deployed alarms (per-episode false alarms are high), prediction of leaks that are not exact strings, or anything beyond this first recruitment step. On gpt-oss-20b, round-level prediction of the channel give-in is near chance.</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The per-call results are mostly follow-up analyses.</w:t>
      </w:r>
      <w:r>
        <w:rPr>
          <w:rFonts w:ascii="XCharter" w:hAnsi="XCharter" w:cs="XCharter" w:eastAsia="XCharter"/>
          <w:sz w:val="22"/>
        </w:rPr>
        <w:t xml:space="preserve"> </w:t>
      </w:r>
      <w:r>
        <w:rPr>
          <w:rFonts w:ascii="XCharter" w:hAnsi="XCharter" w:cs="XCharter" w:eastAsia="XCharter"/>
          <w:sz w:val="22"/>
        </w:rPr>
        <w:t xml:space="preserve">Only the gpt-oss-20b reasoning probe was confirmed on fresh episodes, on 26 leaking calls (0.905 [0.775, 0.991];</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 The last-prompt per-call results (Qwen3-32B 0.95, gpt-oss-20b 0.91) are unconfirmed.</w:t>
      </w:r>
    </w:p>
    <w:p>
      <w:pPr>
        <w:pStyle w:val="Compact"/>
        <w:widowControl/>
        <w:numPr>
          <w:ilvl w:val="0"/>
          <w:numId w:val="1004"/>
        </w:numPr>
        <w:spacing w:line="259" w:lineRule="auto" w:after="60"/>
        <w:jc w:val="left"/>
      </w:pPr>
      <w:r>
        <w:rPr>
          <w:rFonts w:ascii="XCharter" w:hAnsi="XCharter" w:cs="XCharter" w:eastAsia="XCharter"/>
          <w:i/>
          <w:iCs/>
          <w:sz w:val="22"/>
        </w:rPr>
        <w:t xml:space="preserve">Narrow setting.</w:t>
      </w:r>
      <w:r>
        <w:rPr>
          <w:rFonts w:ascii="XCharter" w:hAnsi="XCharter" w:cs="XCharter" w:eastAsia="XCharter"/>
          <w:sz w:val="22"/>
        </w:rPr>
        <w:t xml:space="preserve"> </w:t>
      </w:r>
      <w:r>
        <w:rPr>
          <w:rFonts w:ascii="XCharter" w:hAnsi="XCharter" w:cs="XCharter" w:eastAsia="XCharter"/>
          <w:sz w:val="22"/>
        </w:rPr>
        <w:t xml:space="preserve">Two models; six scenarios from one task template; synthetic tools and secrets; one peer and one target per episode. Larger multi-agent settings (several peers, recruited agents recruiting others, shared memory or boards) are not tested and are future work. Give-in rates and readability may differ elsewhere.</w:t>
      </w:r>
    </w:p>
    <w:p>
      <w:pPr>
        <w:pStyle w:val="Compact"/>
        <w:widowControl/>
        <w:numPr>
          <w:ilvl w:val="0"/>
          <w:numId w:val="1004"/>
        </w:numPr>
        <w:spacing w:line="259" w:lineRule="auto" w:after="60"/>
        <w:jc w:val="left"/>
      </w:pPr>
      <w:r>
        <w:rPr>
          <w:rFonts w:ascii="XCharter" w:hAnsi="XCharter" w:cs="XCharter" w:eastAsia="XCharter"/>
          <w:i/>
          <w:iCs/>
          <w:sz w:val="22"/>
        </w:rPr>
        <w:t xml:space="preserve">The warning is about the current call.</w:t>
      </w:r>
      <w:r>
        <w:rPr>
          <w:rFonts w:ascii="XCharter" w:hAnsi="XCharter" w:cs="XCharter" w:eastAsia="XCharter"/>
          <w:sz w:val="22"/>
        </w:rPr>
        <w:t xml:space="preserve"> </w:t>
      </w:r>
      <w:r>
        <w:rPr>
          <w:rFonts w:ascii="XCharter" w:hAnsi="XCharter" w:cs="XCharter" w:eastAsia="XCharter"/>
          <w:sz w:val="22"/>
        </w:rPr>
        <w:t xml:space="preserve">One call ahead is weaker (Qwen3-32B 0.71; on gpt-oss-20b mostly the protected-file read step), and there is no evidence of warning rounds ahead.</w:t>
      </w:r>
    </w:p>
    <w:p>
      <w:pPr>
        <w:pStyle w:val="Compact"/>
        <w:widowControl/>
        <w:numPr>
          <w:ilvl w:val="0"/>
          <w:numId w:val="1004"/>
        </w:numPr>
        <w:spacing w:line="259" w:lineRule="auto" w:after="60"/>
        <w:jc w:val="left"/>
      </w:pPr>
      <w:r>
        <w:rPr>
          <w:rFonts w:ascii="XCharter" w:hAnsi="XCharter" w:cs="XCharter" w:eastAsia="XCharter"/>
          <w:i/>
          <w:iCs/>
          <w:sz w:val="22"/>
        </w:rPr>
        <w:t xml:space="preserve">What the probe reads is unknown.</w:t>
      </w:r>
      <w:r>
        <w:rPr>
          <w:rFonts w:ascii="XCharter" w:hAnsi="XCharter" w:cs="XCharter" w:eastAsia="XCharter"/>
          <w:sz w:val="22"/>
        </w:rPr>
        <w:t xml:space="preserve"> </w:t>
      </w:r>
      <w:r>
        <w:rPr>
          <w:rFonts w:ascii="XCharter" w:hAnsi="XCharter" w:cs="XCharter" w:eastAsia="XCharter"/>
          <w:sz w:val="22"/>
        </w:rPr>
        <w:t xml:space="preserve">It survives the pressure, secret-string and read-step controls, but a probe on the incoming message and tool results alone reaches 0.93 (one seed), so much of the signal may reflect what just arrived rather than a decision.</w:t>
      </w:r>
    </w:p>
    <w:p>
      <w:pPr>
        <w:pStyle w:val="Compact"/>
        <w:widowControl/>
        <w:numPr>
          <w:ilvl w:val="0"/>
          <w:numId w:val="1004"/>
        </w:numPr>
        <w:spacing w:line="259" w:lineRule="auto" w:after="60"/>
        <w:jc w:val="left"/>
      </w:pPr>
      <w:r>
        <w:rPr>
          <w:rFonts w:ascii="XCharter" w:hAnsi="XCharter" w:cs="XCharter" w:eastAsia="XCharter"/>
          <w:i/>
          <w:iCs/>
          <w:sz w:val="22"/>
        </w:rPr>
        <w:t xml:space="preserve">Alarm costs.</w:t>
      </w:r>
      <w:r>
        <w:rPr>
          <w:rFonts w:ascii="XCharter" w:hAnsi="XCharter" w:cs="XCharter" w:eastAsia="XCharter"/>
          <w:sz w:val="22"/>
        </w:rPr>
        <w:t xml:space="preserve"> </w:t>
      </w:r>
      <w:r>
        <w:rPr>
          <w:rFonts w:ascii="XCharter" w:hAnsi="XCharter" w:cs="XCharter" w:eastAsia="XCharter"/>
          <w:sz w:val="22"/>
        </w:rPr>
        <w:t xml:space="preserve">At the 5% per-call control cutoff, 26% to 41% of refusing episodes get at least one alarm (26% on the new episodes, 41% in development); an episode-calibrated cutoff catches 34% of leaking episodes at 8%. A deployed alarm needs episode-level calibration.</w:t>
      </w:r>
    </w:p>
    <w:p>
      <w:pPr>
        <w:pStyle w:val="Compact"/>
        <w:widowControl/>
        <w:numPr>
          <w:ilvl w:val="0"/>
          <w:numId w:val="1004"/>
        </w:numPr>
        <w:spacing w:line="259" w:lineRule="auto" w:after="60"/>
        <w:jc w:val="left"/>
      </w:pPr>
      <w:r>
        <w:rPr>
          <w:rFonts w:ascii="XCharter" w:hAnsi="XCharter" w:cs="XCharter" w:eastAsia="XCharter"/>
          <w:i/>
          <w:iCs/>
          <w:sz w:val="22"/>
        </w:rPr>
        <w:t xml:space="preserve">The outcome label differs between models:</w:t>
      </w:r>
      <w:r>
        <w:rPr>
          <w:rFonts w:ascii="XCharter" w:hAnsi="XCharter" w:cs="XCharter" w:eastAsia="XCharter"/>
          <w:sz w:val="22"/>
        </w:rPr>
        <w:t xml:space="preserve"> </w:t>
      </w:r>
      <w:r>
        <w:rPr>
          <w:rFonts w:ascii="XCharter" w:hAnsi="XCharter" w:cs="XCharter" w:eastAsia="XCharter"/>
          <w:sz w:val="22"/>
        </w:rPr>
        <w:t xml:space="preserve">any public emission on gpt-oss-20b, whose first public act is almost always a file write, against the give-in rule on Qwen3-32B. The channel-rule check (0.94,</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mostly scores calls after an earlier file emission.</w:t>
      </w:r>
    </w:p>
    <w:p>
      <w:pPr>
        <w:pStyle w:val="Compact"/>
        <w:widowControl/>
        <w:numPr>
          <w:ilvl w:val="0"/>
          <w:numId w:val="1004"/>
        </w:numPr>
        <w:spacing w:line="259" w:lineRule="auto" w:after="60"/>
        <w:jc w:val="left"/>
      </w:pPr>
      <w:r>
        <w:rPr>
          <w:rFonts w:ascii="XCharter" w:hAnsi="XCharter" w:cs="XCharter" w:eastAsia="XCharter"/>
          <w:i/>
          <w:iCs/>
          <w:sz w:val="22"/>
        </w:rPr>
        <w:t xml:space="preserve">The text-monitor comparison is narrow:</w:t>
      </w:r>
      <w:r>
        <w:rPr>
          <w:rFonts w:ascii="XCharter" w:hAnsi="XCharter" w:cs="XCharter" w:eastAsia="XCharter"/>
          <w:sz w:val="22"/>
        </w:rPr>
        <w:t xml:space="preserve"> </w:t>
      </w:r>
      <w:r>
        <w:rPr>
          <w:rFonts w:ascii="XCharter" w:hAnsi="XCharter" w:cs="XCharter" w:eastAsia="XCharter"/>
          <w:sz w:val="22"/>
        </w:rPr>
        <w:t xml:space="preserve">one decision model (Jev), one question and one access level. On gpt-oss-20b its ranking is inverted; the probe still beats the reversed ranking (+0.18 [0.12, 0.23]).</w:t>
      </w:r>
    </w:p>
    <w:p>
      <w:pPr>
        <w:pStyle w:val="Compact"/>
        <w:widowControl/>
        <w:numPr>
          <w:ilvl w:val="0"/>
          <w:numId w:val="1004"/>
        </w:numPr>
        <w:spacing w:line="259" w:lineRule="auto" w:after="60"/>
        <w:jc w:val="left"/>
      </w:pPr>
      <w:r>
        <w:rPr>
          <w:rFonts w:ascii="XCharter" w:hAnsi="XCharter" w:cs="XCharter" w:eastAsia="XCharter"/>
          <w:i/>
          <w:iCs/>
          <w:sz w:val="22"/>
        </w:rPr>
        <w:t xml:space="preserve">Exact-string leaks only.</w:t>
      </w:r>
      <w:r>
        <w:rPr>
          <w:rFonts w:ascii="XCharter" w:hAnsi="XCharter" w:cs="XCharter" w:eastAsia="XCharter"/>
          <w:sz w:val="22"/>
        </w:rPr>
        <w:t xml:space="preserve"> </w:t>
      </w:r>
      <w:r>
        <w:rPr>
          <w:rFonts w:ascii="XCharter" w:hAnsi="XCharter" w:cs="XCharter" w:eastAsia="XCharter"/>
          <w:sz w:val="22"/>
        </w:rPr>
        <w:t xml:space="preserve">Paraphrased, encoded or semantic leaks were not tested, and an exact-string output filter would catch these leaks.</w:t>
      </w:r>
    </w:p>
    <w:p>
      <w:pPr>
        <w:pStyle w:val="Compact"/>
        <w:widowControl/>
        <w:numPr>
          <w:ilvl w:val="0"/>
          <w:numId w:val="1004"/>
        </w:numPr>
        <w:spacing w:line="259" w:lineRule="auto" w:after="60"/>
        <w:jc w:val="left"/>
      </w:pPr>
      <w:r>
        <w:rPr>
          <w:rFonts w:ascii="XCharter" w:hAnsi="XCharter" w:cs="XCharter" w:eastAsia="XCharter"/>
          <w:i/>
          <w:iCs/>
          <w:sz w:val="22"/>
        </w:rPr>
        <w:t xml:space="preserve">The round-level near-term label was chosen after the eventual label failed;</w:t>
      </w:r>
      <w:r>
        <w:rPr>
          <w:rFonts w:ascii="XCharter" w:hAnsi="XCharter" w:cs="XCharter" w:eastAsia="XCharter"/>
          <w:sz w:val="22"/>
        </w:rPr>
        <w:t xml:space="preserve"> </w:t>
      </w:r>
      <w:r>
        <w:rPr>
          <w:rFonts w:ascii="XCharter" w:hAnsi="XCharter" w:cs="XCharter" w:eastAsia="XCharter"/>
          <w:sz w:val="22"/>
        </w:rPr>
        <w:t xml:space="preserve">it was confirmed on 89 new episodes under a plan fixed in advance.</w:t>
      </w:r>
    </w:p>
    <w:p>
      <w:pPr>
        <w:pStyle w:val="Compact"/>
        <w:widowControl/>
        <w:numPr>
          <w:ilvl w:val="0"/>
          <w:numId w:val="1004"/>
        </w:numPr>
        <w:spacing w:line="259" w:lineRule="auto" w:after="60"/>
        <w:jc w:val="left"/>
      </w:pPr>
      <w:r>
        <w:rPr>
          <w:rFonts w:ascii="XCharter" w:hAnsi="XCharter" w:cs="XCharter" w:eastAsia="XCharter"/>
          <w:i/>
          <w:iCs/>
          <w:sz w:val="22"/>
        </w:rPr>
        <w:t xml:space="preserve">Smaller issues.</w:t>
      </w:r>
      <w:r>
        <w:rPr>
          <w:rFonts w:ascii="XCharter" w:hAnsi="XCharter" w:cs="XCharter" w:eastAsia="XCharter"/>
          <w:sz w:val="22"/>
        </w:rPr>
        <w:t xml:space="preserve"> </w:t>
      </w:r>
      <w:r>
        <w:rPr>
          <w:rFonts w:ascii="XCharter" w:hAnsi="XCharter" w:cs="XCharter" w:eastAsia="XCharter"/>
          <w:sz w:val="22"/>
        </w:rPr>
        <w:t xml:space="preserve">Uneven scenarios (Appendices C and H); automated judges (</w:t>
      </w:r>
      <w:r>
        <w:rPr>
          <w:rFonts w:ascii="XCharter" w:hAnsi="XCharter" w:cs="XCharter" w:eastAsia="XCharter"/>
          <w:sz w:val="22"/>
        </w:rPr>
        <w:t xml:space="preserve">κ</w:t>
      </w:r>
      <w:r>
        <w:rPr>
          <w:rFonts w:ascii="XCharter" w:hAnsi="XCharter" w:cs="XCharter" w:eastAsia="XCharter"/>
          <w:sz w:val="22"/>
        </w:rPr>
        <w:t xml:space="preserve"> = 0.79 against the author’s blind labels); pooled cross-validation compares probes across folds (same-fold check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possible optimism in the combination test, because its probe input comes from overlapping fold probes; scoring-window edges (at the round level, a give-in in the first call after the read leaves no call to score); accidental disclosures count as give-ins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setup is not a reproduction of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ahead of the call, which tells an attacker where pressure is least likely to be caught. The per-call results add two more routes: knowing that a probe reads single calls tells an attacker that spreading pressure across calls, or leaking through paraphrase or an encoding, may avoid per-call probes,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41" w:name="_1c2832545d6be5937b2db194f5b1e2f4105b9d9"/>
      <w:r>
        <w:rPr>
          <w:rFonts w:ascii="Old Standard TT" w:hAnsi="Old Standard TT"/>
          <w:b/>
          <w:sz w:val="26"/>
        </w:rPr>
        <w:t xml:space="preserve">B. Experimental Pipeline and Reproducibility</w:t>
      </w:r>
      <w:bookmarkEnd w:id="141"/>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3" name="Picture"/>
            <a:graphic>
              <a:graphicData uri="http://schemas.openxmlformats.org/drawingml/2006/picture">
                <pic:pic>
                  <pic:nvPicPr>
                    <pic:cNvPr descr="figures/pipeline.png" id="144" name="Picture"/>
                    <pic:cNvPicPr>
                      <a:picLocks noChangeArrowheads="1" noChangeAspect="1"/>
                    </pic:cNvPicPr>
                  </pic:nvPicPr>
                  <pic:blipFill>
                    <a:blip r:embed="rId142"/>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5"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eb2081c254582b7b30d850818c23052f2849c38">
              <w:r>
                <w:rPr>
                  <w:rStyle w:val="Hyperlink"/>
                  <w:rFonts w:ascii="XCharter" w:hAnsi="XCharter" w:cs="XCharter" w:eastAsia="XCharter"/>
                  <w:color w:val="000080"/>
                  <w:sz w:val="18"/>
                  <w:u w:val="none"/>
                </w:rPr>
                <w:t xml:space="preserve">Figure 3</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refusing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29f519cfe2b273e1f41de0c770c5dd81f1818a5"/>
      <w:r>
        <w:rPr>
          <w:rFonts w:ascii="Old Standard TT" w:hAnsi="Old Standard TT"/>
          <w:b/>
          <w:sz w:val="26"/>
        </w:rPr>
        <w:t xml:space="preserve">C. Scenarios, an Example, and Model Choice</w:t>
      </w:r>
      <w:bookmarkEnd w:id="146"/>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7"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7"/>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Refusing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refuse-then-give-in.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8" w:name="_9af0a0be73df5a4a2132a3bbde2a7aaba8a9fb7"/>
      <w:r>
        <w:rPr>
          <w:rFonts w:ascii="Old Standard TT" w:hAnsi="Old Standard TT"/>
          <w:b/>
          <w:sz w:val="26"/>
        </w:rPr>
        <w:t xml:space="preserve">D. Labels and Judges</w:t>
      </w:r>
      <w:bookmarkEnd w:id="148"/>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gpt-oss-20b’s round-level labels only a channel post counts, and any earlier public emission ends the window; its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the 98 first channel leaks of the plain-peer behaviour slice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refusing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refusing,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refusing-episode calls as negatives; C uses a within-three-target-calls window against refusing episodes. Both drop calls using hindsight, so neither is a prospective alarm label; their results are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9" w:name="_16e1c949c1569f7f4050c474671b93e6b4d1bae"/>
      <w:r>
        <w:rPr>
          <w:rFonts w:ascii="Old Standard TT" w:hAnsi="Old Standard TT"/>
          <w:b/>
          <w:sz w:val="26"/>
        </w:rPr>
        <w:t xml:space="preserve">E. Detectors and Evaluation</w:t>
      </w:r>
      <w:bookmarkEnd w:id="149"/>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refusing calls scored 0.5 and 0.9: the give-in outranks one of the two refusing calls, so the group AUROC is 0.5. A second group with a give-in at 0.7 and a refusing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refusing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refusing,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call.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probe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(logistic regression on residual-stream activations);</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asking about any later point in the episode, as their code also does.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50"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5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possible optimism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10);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Calls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refusing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refusing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2" name="Picture"/>
            <a:graphic>
              <a:graphicData uri="http://schemas.openxmlformats.org/drawingml/2006/picture">
                <pic:pic>
                  <pic:nvPicPr>
                    <pic:cNvPr descr="figures/figure_monitor_design.png" id="153" name="Picture"/>
                    <pic:cNvPicPr>
                      <a:picLocks noChangeArrowheads="1" noChangeAspect="1"/>
                    </pic:cNvPicPr>
                  </pic:nvPicPr>
                  <pic:blipFill>
                    <a:blip r:embed="rId151"/>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4"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5"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5"/>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e774c98102b53efba7d6294684718b8ff2eaeba"/>
      <w:r>
        <w:rPr>
          <w:rFonts w:ascii="Old Standard TT" w:hAnsi="Old Standard TT"/>
          <w:b/>
          <w:sz w:val="26"/>
        </w:rPr>
        <w:t xml:space="preserve">F. Second Target: gpt-oss-20b (and Gemma-4-31B)</w:t>
      </w:r>
      <w:bookmarkEnd w:id="156"/>
    </w:p>
    <w:p>
      <w:pPr>
        <w:pStyle w:val="FirstParagraph"/>
        <w:widowControl/>
        <w:spacing w:after="0" w:line="259" w:lineRule="auto"/>
        <w:ind w:firstLine="0"/>
        <w:jc w:val="both"/>
      </w:pPr>
      <w:r>
        <w:rPr>
          <w:rFonts w:ascii="XCharter" w:hAnsi="XCharter" w:cs="XCharter" w:eastAsia="XCharter"/>
          <w:i/>
          <w:iCs/>
          <w:sz w:val="22"/>
        </w:rPr>
        <w:t xml:space="preserve">Does the setup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This appendix gives round-level results; per-call results are in</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refuse,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For the round-level labels, the scored give-in is the complete value posted to the channel; the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In the full collection, 200 of the 300 recruiting episodes emitted the value publicly; their first public disclosure, a file write in 196 of the 200,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Calls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7"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7"/>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refusing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8" w:name="_190f1226d051d30d3bf4384ba25f172a7a45b0c"/>
      <w:r>
        <w:rPr>
          <w:rFonts w:ascii="Old Standard TT" w:hAnsi="Old Standard TT"/>
          <w:b/>
          <w:sz w:val="26"/>
        </w:rPr>
        <w:t xml:space="preserve">G. Behaviour Screening</w:t>
      </w:r>
      <w:bookmarkEnd w:id="158"/>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refusing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9"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60" w:name="_4113352bd13d302125766053daea31ad42500bd"/>
      <w:r>
        <w:rPr>
          <w:rFonts w:ascii="Old Standard TT" w:hAnsi="Old Standard TT"/>
          <w:b/>
          <w:sz w:val="26"/>
        </w:rPr>
        <w:t xml:space="preserve">H. Robustness and Diagnostics for the Round-Level Results</w:t>
      </w:r>
      <w:bookmarkEnd w:id="160"/>
    </w:p>
    <w:p>
      <w:pPr>
        <w:pStyle w:val="FirstParagraph"/>
        <w:widowControl/>
        <w:spacing w:after="0" w:line="259" w:lineRule="auto"/>
        <w:ind w:firstLine="0"/>
        <w:jc w:val="both"/>
      </w:pPr>
      <w:r>
        <w:rPr>
          <w:rFonts w:ascii="XCharter" w:hAnsi="XCharter" w:cs="XCharter" w:eastAsia="XCharter"/>
          <w:i/>
          <w:iCs/>
          <w:sz w:val="22"/>
        </w:rPr>
        <w:t xml:space="preserve">Do the round-level results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61"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2"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3"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5" name="Picture"/>
            <a:graphic>
              <a:graphicData uri="http://schemas.openxmlformats.org/drawingml/2006/picture">
                <pic:pic>
                  <pic:nvPicPr>
                    <pic:cNvPr descr="figures/appendix_h_layers.png" id="166" name="Picture"/>
                    <pic:cNvPicPr>
                      <a:picLocks noChangeArrowheads="1" noChangeAspect="1"/>
                    </pic:cNvPicPr>
                  </pic:nvPicPr>
                  <pic:blipFill>
                    <a:blip r:embed="rId164"/>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7"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7"/>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refusing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refusing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refusing recruiting episodes for a nominal 5% per-episode false-alarm rate (strict threshold), the Jev forecaster catches 10 of 101 give-ins (9.9%) with 6 of 140 refusing episodes alarming (4.3%); the probe 8 of 101 (7.9%) and 8 of 140 (5.7%); GPT-5-nano 0 of 101 and 0 of 140. Probe scores are pooled-CV out-of-fold scores, z-scored within each fold model and averaged over seeds. For each seed-42 fold, the cutoff is the value that at most 5% of refusing episodes from the other folds (families of the evaluated fold excluded) exceed with their maximum score, and only a score strictly above it alarms. A give-in counts as caught if an alarm fires on one of its near-term-positive calls, and a refusing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889344895f04d1f9f75d0ebcc55c0e9d025ecfb"/>
      <w:r>
        <w:rPr>
          <w:rFonts w:ascii="Old Standard TT" w:hAnsi="Old Standard TT"/>
          <w:b/>
          <w:sz w:val="26"/>
        </w:rPr>
        <w:t xml:space="preserve">I. Prompts</w:t>
      </w:r>
      <w:bookmarkEnd w:id="168"/>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33bf1cd3074762475a7470d90c6bbd938fdac44"/>
      <w:r>
        <w:rPr>
          <w:rFonts w:ascii="Old Standard TT" w:hAnsi="Old Standard TT"/>
          <w:b/>
          <w:sz w:val="26"/>
        </w:rPr>
        <w:t xml:space="preserve">I.1 Target agent (Qwen3-32B and gpt-oss-20b)</w:t>
      </w:r>
      <w:bookmarkEnd w:id="169"/>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d7ac7fb6a629ef29d896d387aeb1cbdff09ae31"/>
      <w:r>
        <w:rPr>
          <w:rFonts w:ascii="Old Standard TT" w:hAnsi="Old Standard TT"/>
          <w:b/>
          <w:sz w:val="26"/>
        </w:rPr>
        <w:t xml:space="preserve">I.2 Peer agent, Qwen3-32B episodes (DeepSeek-V4-Flash)</w:t>
      </w:r>
      <w:bookmarkEnd w:id="170"/>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20ca0bd4e22b8907b745ffe52788f85136b39d1"/>
      <w:r>
        <w:rPr>
          <w:rFonts w:ascii="Old Standard TT" w:hAnsi="Old Standard TT"/>
          <w:b/>
          <w:sz w:val="26"/>
        </w:rPr>
        <w:t xml:space="preserve">I.3 Peer agent, gpt-oss-20b episodes (DeepSeek-V4-Pro)</w:t>
      </w:r>
      <w:bookmarkEnd w:id="171"/>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f002de876b18b98d7718a6bd3deb30b9403007e"/>
      <w:r>
        <w:rPr>
          <w:rFonts w:ascii="Old Standard TT" w:hAnsi="Old Standard TT"/>
          <w:b/>
          <w:sz w:val="26"/>
        </w:rPr>
        <w:t xml:space="preserve">I.4 Text monitors</w:t>
      </w:r>
      <w:bookmarkEnd w:id="172"/>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9c1464226db10cf5b2f811ceea16efe8dd113a9"/>
      <w:r>
        <w:rPr>
          <w:rFonts w:ascii="Old Standard TT" w:hAnsi="Old Standard TT"/>
          <w:b/>
          <w:sz w:val="26"/>
        </w:rPr>
        <w:t xml:space="preserve">J. A Scaled Follow-Up Study: Design and Decision Criteria</w:t>
      </w:r>
      <w:bookmarkEnd w:id="173"/>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round-level finding that the best monitor edges the probe. On gpt-oss-20b, any tuned detector clearly above chance would weaken our reading of that model as a limit on when round-level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round-level prediction rises above chance with a longer window, the limit lies in the setting, not the model; if not,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per-call predictability that holds on four or more models and in multi-agent settings would support a general claim; if it fails beyond our two targets, it is specific to them.</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at the round level every detector catches at most a tenth of give-ins at a 5% refusing-episode false-alarm rate (App. H); per call, alarms fire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527a2614b0d9aee1dd56ba38d518b45bdf577b0"/>
      <w:r>
        <w:rPr>
          <w:rFonts w:ascii="Old Standard TT" w:hAnsi="Old Standard TT"/>
          <w:b/>
          <w:sz w:val="26"/>
        </w:rPr>
        <w:t xml:space="preserve">K. Related Work in Full</w:t>
      </w:r>
      <w:bookmarkEnd w:id="174"/>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three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and jailbreak success</w:t>
      </w:r>
      <w:r>
        <w:rPr>
          <w:rFonts w:ascii="XCharter" w:hAnsi="XCharter" w:cs="XCharter" w:eastAsia="XCharter"/>
          <w:sz w:val="22"/>
        </w:rPr>
        <w:t xml:space="preserve"> </w:t>
      </w:r>
      <w:r>
        <w:rPr>
          <w:rFonts w:ascii="XCharter" w:hAnsi="XCharter" w:cs="XCharter" w:eastAsia="XCharter"/>
          <w:sz w:val="22"/>
        </w:rPr>
        <w:t xml:space="preserve">(</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 and probes on hidden states plus the current tool predict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signal we find at the round level; our per-call probe, by contrast, is strongly predictive on both models.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actions in a task-authorization conflict, with authorized look-alike actions as negatives, text monitors given the same information, frozen tests, interventions and an analysis of how far ahead prediction works; their decision-point AUROC against all negatives is highest after reasoning, and text monitors match or beat internal states against authorized look-alikes and against all their negatives, though not in every condition.</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branch agents from identical prompt-injection exposure states, so that the same state can comply or resist, and find early probes do not reliably beat text baselines.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already forecast unauthorized or injected actions from internal states and text before they occur; we ask it of an agent pressed by a peer, with probes and text monitors scored on the same calls and the same question asked at different distances from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175" w:name="_4eebb92370222c9c8f01ec8125bb39dc064483d"/>
      <w:r>
        <w:rPr>
          <w:rFonts w:ascii="Old Standard TT" w:hAnsi="Old Standard TT"/>
          <w:b/>
          <w:sz w:val="26"/>
        </w:rPr>
        <w:t xml:space="preserve">L. Per-call and Streaming Probes</w:t>
      </w:r>
      <w:bookmarkEnd w:id="175"/>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round-level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6" w:name="_0fdfa08c8aa9ffbf1d598022d2903121bf1f3a9"/>
      <w:r>
        <w:rPr>
          <w:rFonts w:ascii="Old Standard TT" w:hAnsi="Old Standard TT"/>
          <w:b/>
          <w:sz w:val="26"/>
        </w:rPr>
        <w:t xml:space="preserve">L.1 The gpt-oss-20b reasoning probe: design and development results</w:t>
      </w:r>
      <w:bookmarkEnd w:id="176"/>
    </w:p>
    <w:p>
      <w:pPr>
        <w:pStyle w:val="FirstParagraph"/>
        <w:widowControl/>
        <w:spacing w:after="0" w:line="259" w:lineRule="auto"/>
        <w:ind w:firstLine="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The last-prompt probe reads one position per call.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round-level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refusing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round-level near-term label differs in three ways: it concerns a channel leak; it marks the eligible calls before the leak, in the leak’s round or the one before; and the round-level probe reads one position per call, the last prompt token, before any reasoning. The near-term comparator below uses that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round-level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round-level gpt-oss last-prompt probe, applied without refitting (it was trained on the channel near-term label). Two text monitors, run differently from the round-level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refusing episodes.</w:t>
      </w:r>
    </w:p>
    <w:p>
      <w:pPr>
        <w:pStyle w:val="Caption"/>
        <w:keepNext/>
        <w:keepLines/>
        <w:widowControl/>
        <w:spacing w:line="240" w:lineRule="auto" w:before="0" w:after="120"/>
        <w:ind w:firstLine="0"/>
      </w:pPr>
      <w:bookmarkStart w:id="177"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(round-level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round-level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L.3’s last-prompt probe refit on this label (0.906; 1.6% of refusing calls alarm). L.2’s incoming-message probe also ranks well (0.927, but 19.1% of refusing calls alarm against 4.4%; one seed, reduced recipe). On the round-level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refusing-episode calls alarming; pooled, 75.5% and 2.0%. Per episode the false-alarm rate is far higher: at least one alarm fires in 41.3% [33.3, 50.0] of the 92 refusing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refusing recruiting episodes (2%, 21%, 1%). The probe’s ranking is stable across seeds, but these thresholded rates are not. Most stops fall within the leaking call (median call lead 0; 12 of the 149 caught episode-seed observations alarm on an earlier request). The 5% applies to the training-side control episodes; the 8% is measured on the refusing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refusing-episode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round-level results, uses one model, and tried several variants (two aggregates, two cuts, two splits); it was confirmed only once, on 26 leaking calls (L.5). The label is any public emission, not the give-in outcome. What the probe reads within the call is not established (L.4); it predicts this call’s action before output, not calls ahead.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8" w:name="_7a58329c2353e56a5bd1d72f28e42872a37757f"/>
      <w:r>
        <w:rPr>
          <w:rFonts w:ascii="Old Standard TT" w:hAnsi="Old Standard TT"/>
          <w:b/>
          <w:sz w:val="26"/>
        </w:rPr>
        <w:t xml:space="preserve">L.2 Expanded capture: incoming messages and action-time tokens</w:t>
      </w:r>
      <w:bookmarkEnd w:id="178"/>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9"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refusing-call alarms = share of calls in refusing episodes that alarm.</w:t>
      </w:r>
      <w:bookmarkEnd w:id="17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refusing episodes (80%) and 49 of 92 (53%), respectively, would also have been stopped at least once. The median alarm comes in the same request as the leak (call lead 0), so the warning concerns the leaking call itself, not earlier calls.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0" w:name="_a84b69b1f04b116b25a2e9fee2854a691cd8854"/>
      <w:r>
        <w:rPr>
          <w:rFonts w:ascii="Old Standard TT" w:hAnsi="Old Standard TT"/>
          <w:b/>
          <w:sz w:val="26"/>
        </w:rPr>
        <w:t xml:space="preserve">L.3 Per-call last-prompt probes on both models (post hoc)</w:t>
      </w:r>
      <w:bookmarkEnd w:id="180"/>
    </w:p>
    <w:p>
      <w:pPr>
        <w:pStyle w:val="FirstParagraph"/>
        <w:widowControl/>
        <w:spacing w:after="0" w:line="259" w:lineRule="auto"/>
        <w:ind w:firstLine="0"/>
        <w:jc w:val="both"/>
      </w:pPr>
      <w:r>
        <w:rPr>
          <w:rFonts w:ascii="XCharter" w:hAnsi="XCharter" w:cs="XCharter" w:eastAsia="XCharter"/>
          <w:sz w:val="22"/>
        </w:rPr>
        <w:t xml:space="preserve">The round-level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refusing calls alarm), the last-prompt probe 56.5% (1.6%). On Qwen3-32B the round-level near-term probe scores 0.561 [0.514, 0.600] on the same 4,844 calls, so the per-call refit gains +0.391 [+0.345, +0.446]. For the Qwen3-32B per-call label, 104 candidate first-emission calls were audited against the give-in rule before fitting (100 qualify; 3 are file-only or private writes; 1 moves to a later call), giving the 101 give-ins. The Qwen3-32B per-call cohort is the 4,697 round-level calls, plus the 101 first qualifying disclosures, plus 46 calls recovered by corrected cutoffs (40 negatives; 6 dispatch-scenario positives before its actual public disclosure) = 4,844; eventual positives 998 + 101 + 6 = 1,105, near-term 250 − 1 + 101 + 2 = 352. The gpt-oss-20b cohort is 2,059 + 146 first public emissions = 2,205, minus 210 calls with empty reasoning = 1,995 (121 positives) (</w:t>
      </w:r>
      <w:r>
        <w:rPr>
          <w:rStyle w:val="VerbatimChar"/>
          <w:rFonts w:ascii="XCharter" w:hAnsi="XCharter" w:cs="XCharter" w:eastAsia="XCharter"/>
          <w:sz w:val="22"/>
        </w:rPr>
        <w:t xml:space="preserve">runs/20261026-1626-cohort-transition</w:t>
      </w:r>
      <w:r>
        <w:rPr>
          <w:rFonts w:ascii="XCharter" w:hAnsi="XCharter" w:cs="XCharter" w:eastAsia="XCharter"/>
          <w:sz w:val="22"/>
        </w:rPr>
        <w:t xml:space="preserve">). Alarm cutoffs are set on training-side control calls; refusing-call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ladders.</w:t>
      </w:r>
      <w:r>
        <w:rPr>
          <w:rFonts w:ascii="XCharter" w:hAnsi="XCharter" w:cs="XCharter" w:eastAsia="XCharter"/>
          <w:sz w:val="22"/>
        </w:rPr>
        <w:t xml:space="preserve"> </w:t>
      </w:r>
      <w:r>
        <w:rPr>
          <w:rFonts w:ascii="XCharter" w:hAnsi="XCharter" w:cs="XCharter" w:eastAsia="XCharter"/>
          <w:sz w:val="22"/>
        </w:rPr>
        <w:t xml:space="preserve">On the same 1,995 gpt-oss-20b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On the same 4,844 Qwen3-32B calls and the give-in rule it scores 0.537 [0.501, 0.574] (1,105 positives), 0.669 [0.632, 0.705] (352) and 0.953 (101); pooled 0.511 and 0.666 (</w:t>
      </w:r>
      <w:r>
        <w:rPr>
          <w:rStyle w:val="VerbatimChar"/>
          <w:rFonts w:ascii="XCharter" w:hAnsi="XCharter" w:cs="XCharter" w:eastAsia="XCharter"/>
          <w:sz w:val="22"/>
        </w:rPr>
        <w:t xml:space="preserve">runs/20261026-1313-e05-qwen-label-ladder</w:t>
      </w:r>
      <w:r>
        <w:rPr>
          <w:rFonts w:ascii="XCharter" w:hAnsi="XCharter" w:cs="XCharter" w:eastAsia="XCharter"/>
          <w:sz w:val="22"/>
        </w:rPr>
        <w:t xml:space="preserve">). These differ from the round-level 0.523 and 0.579, which use the 4,697 pre-emission calls and were confirmed on new episodes; the matched cohort adds the give-in calls, raising the near-term positives from 250 to 352. All matched rungs are post hoc.</w:t>
      </w:r>
    </w:p>
    <w:p>
      <w:pPr>
        <w:pStyle w:val="BodyText"/>
        <w:widowControl/>
        <w:spacing w:after="0" w:line="259" w:lineRule="auto"/>
        <w:ind w:firstLine="360"/>
        <w:jc w:val="both"/>
      </w:pPr>
      <w:r>
        <w:rPr>
          <w:rFonts w:ascii="XCharter" w:hAnsi="XCharter" w:cs="XCharter" w:eastAsia="XCharter"/>
          <w:b/>
          <w:bCs/>
          <w:sz w:val="22"/>
        </w:rPr>
        <w:t xml:space="preserve">Channel-window check (gpt-oss-20b).</w:t>
      </w:r>
      <w:r>
        <w:rPr>
          <w:rFonts w:ascii="XCharter" w:hAnsi="XCharter" w:cs="XCharter" w:eastAsia="XCharter"/>
          <w:sz w:val="22"/>
        </w:rPr>
        <w:t xml:space="preserve"> </w:t>
      </w:r>
      <w:r>
        <w:rPr>
          <w:rFonts w:ascii="XCharter" w:hAnsi="XCharter" w:cs="XCharter" w:eastAsia="XCharter"/>
          <w:sz w:val="22"/>
        </w:rPr>
        <w:t xml:space="preserve">On a wider cohort that runs through each episode’s first channel post (2,632 calls, 96 first-channel positives, same 238 episodes, no reasoning requirement), the per-call last-prompt probe on the channel give-in rule scores 0.943 [0.921, 0.961] held-out (pooled 0.925), catching 95.1% of channel calls at 13.0% refusing-call alarms. But 93 of the 96 positives, and 427 calls, come after an earlier public file emission, so most positives re-post a value that is already public. This is not a same-call comparison with the 0.91 cohort and not evidence of stopping the first leak (</w:t>
      </w:r>
      <w:r>
        <w:rPr>
          <w:rStyle w:val="VerbatimChar"/>
          <w:rFonts w:ascii="XCharter" w:hAnsi="XCharter" w:cs="XCharter" w:eastAsia="XCharter"/>
          <w:sz w:val="22"/>
        </w:rPr>
        <w:t xml:space="preserve">runs/20261026-1340-e05-channel-window-percall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refusing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refusing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81" w:name="_8ce8413e36bee0c123bcc62a0f71b4050680895"/>
      <w:r>
        <w:rPr>
          <w:rFonts w:ascii="Old Standard TT" w:hAnsi="Old Standard TT"/>
          <w:b/>
          <w:sz w:val="26"/>
        </w:rPr>
        <w:t xml:space="preserve">L.4 Checks on the per-call signal</w:t>
      </w:r>
      <w:bookmarkEnd w:id="181"/>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3" name="Picture"/>
            <a:graphic>
              <a:graphicData uri="http://schemas.openxmlformats.org/drawingml/2006/picture">
                <pic:pic>
                  <pic:nvPicPr>
                    <pic:cNvPr descr="figures/figure3b_appendix_checks.png" id="184" name="Picture"/>
                    <pic:cNvPicPr>
                      <a:picLocks noChangeArrowheads="1" noChangeAspect="1"/>
                    </pic:cNvPicPr>
                  </pic:nvPicPr>
                  <pic:blipFill>
                    <a:blip r:embed="rId182"/>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5"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2a;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5"/>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of the 101 scored per-call give-ins, those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6" w:name="_c8f297a0d9ce8278545a005f22685cbf9f1c60b"/>
      <w:r>
        <w:rPr>
          <w:rFonts w:ascii="Old Standard TT" w:hAnsi="Old Standard TT"/>
          <w:b/>
          <w:sz w:val="26"/>
        </w:rPr>
        <w:t xml:space="preserve">L.5 Frozen confirmation on new gpt-oss-20b episodes</w:t>
      </w:r>
      <w:bookmarkEnd w:id="186"/>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round-level near-term label (mismatched)</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refusing calls (12 of 490), 7 of 27 refusing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7" w:name="_9b13fd5fc1ec2693fdfc2d237378b7ba584bceb"/>
      <w:r>
        <w:rPr>
          <w:rFonts w:ascii="Old Standard TT" w:hAnsi="Old Standard TT"/>
          <w:b/>
          <w:sz w:val="26"/>
        </w:rPr>
        <w:t xml:space="preserve">L.6 Figure 2, full caption</w:t>
      </w:r>
      <w:bookmarkEnd w:id="187"/>
    </w:p>
    <w:p>
      <w:pPr>
        <w:pStyle w:val="FirstParagraph"/>
        <w:widowControl/>
        <w:spacing w:after="0" w:line="259" w:lineRule="auto"/>
        <w:ind w:firstLine="0"/>
        <w:jc w:val="left"/>
      </w:pPr>
      <w:r>
        <w:rPr>
          <w:rFonts w:ascii="XCharter" w:hAnsi="XCharter" w:cs="XCharter" w:eastAsia="XCharter"/>
          <w:sz w:val="22"/>
        </w:rPr>
        <w:t xml:space="preserve">A probe on the model’s activations picks out the call that will give in; an LLM judge given the same material does reasonably on Qwen3-32B but far below the probe, and on gpt-oss-20b ranks the leaking calls below the others. This analysis is exploratory and was designed after the round-level results. (a) Per-call within scenario × round AUROC on held-out scenarios (0.5 is chance, 1 is perfect); whiskers are 95% family-bootstrap confidence intervals. A call is positive if it is the first to make the protected value public: for gpt-oss-20b by any public emission (1,995 calls with reasoning, 121 positive, 238 episodes), for Qwen3-32B by the give-in rule (4,844 calls, 101 positive, 241 episodes). The last-prompt probe reads one position before the call generates anything; the reasoning probe takes the maximum over the call’s reasoning tokens. The frozen row applies the reasoning probe and its alarm cutoff, both fixed in advance, to 84 new episodes (594 calls with reasoning, 26 leaking, from 57 recruiting episodes). Jev 1.14 is given the same conversation and tool results as the last-prompt probe and asked whether this call will write or post the value; on gpt-oss-20b, as asked, it ranks the leaking calls below the others within a stratum (0.27; 0.73 if reversed post hoc, still below the probe’s 0.91) and flags nearly every pressured call; its input excludes earlier same-turn private reasoning, which the probe’s activations may retain. Jev reading the reasoning sees only the call’s reasoning text, as six growing snapshots scored with a running maximum and with the value masked. At a cutoff set for about 5% alarms on no-ask control calls, the share of leaking calls caught and of calls in refusing episodes flagged is 56% / 2% for the last-prompt probe, 85% / 4% for the reasoning probe, 54% / 2% for the frozen probe on new episodes, 98% / 87% for Jev on the same input and 92% / 9% for Jev on the reasoning; on Qwen3-32B, Jev on the same input is 71% / 28%. Qwen3-32B runs without reasoning. Further checks and baselines are in</w:t>
      </w:r>
      <w:r>
        <w:rPr>
          <w:rFonts w:ascii="XCharter" w:hAnsi="XCharter" w:cs="XCharter" w:eastAsia="XCharter"/>
          <w:sz w:val="22"/>
        </w:rPr>
        <w:t xml:space="preserve"> </w:t>
      </w:r>
      <w:hyperlink w:anchor="_ad2d7b342fdd3e19345fa68cf51f356827ece43">
        <w:r>
          <w:rPr>
            <w:rStyle w:val="Hyperlink"/>
            <w:rFonts w:ascii="XCharter" w:hAnsi="XCharter" w:cs="XCharter" w:eastAsia="XCharter"/>
            <w:color w:val="000080"/>
            <w:sz w:val="22"/>
            <w:u w:val="none"/>
          </w:rPr>
          <w:t xml:space="preserve">Figure L.1</w:t>
        </w:r>
      </w:hyperlink>
      <w:r>
        <w:rPr>
          <w:rFonts w:ascii="XCharter" w:hAnsi="XCharter" w:cs="XCharter" w:eastAsia="XCharter"/>
          <w:sz w:val="22"/>
        </w:rPr>
        <w:t xml:space="preserve">. (b) Matched ladders: within each series the model, the outcome, the reading position and the calls are fixed, and only the label horizon changes; lines join points of the same series, and the series are not compared with each other. Qwen3-32B, last prompt token, the give-in rule, on the same 4,844 calls from 241 episodes (ever, 0.54, 1,105 positives; this round or next, 0.67, 352 positives; this call, 0.95, 101 positives); these matched values differ from the round-level 0.52 and 0.58, which use the original 4,697-call cohort without the give-in calls. gpt-oss-20b, last prompt token, any public emission rather than the give-in rule, on the same 1,995 panel-a calls from 238 episodes (ever, 0.61, 330 positives; this round or next, 0.64, 304 positives; this call, 0.91, 121 positives). Retrained to ask whether this call will leak, the round-level last-prompt probe reaches 0.91 before the model writes anything; reading the reasoning adds a little (0.93, the panel-a headline). One-call-ahead results (Qwen3-32B 0.71, gpt-oss-20b 0.62) use different call sets without the give-in calls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L.3). Values and exact source keys are in figure3_streaming.csv.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8" w:name="_cb9581af10cbdf668d14e9255457c76a376db3f"/>
      <w:r>
        <w:rPr>
          <w:rFonts w:ascii="Old Standard TT" w:hAnsi="Old Standard TT"/>
          <w:b/>
          <w:sz w:val="28"/>
        </w:rPr>
        <w:t xml:space="preserve">LLM Usage Statement</w:t>
      </w:r>
      <w:bookmarkEnd w:id="188"/>
    </w:p>
    <w:p>
      <w:pPr>
        <w:pStyle w:val="FirstParagraph"/>
        <w:widowControl/>
        <w:spacing w:after="0" w:line="259" w:lineRule="auto"/>
        <w:ind w:firstLine="0"/>
        <w:jc w:val="both"/>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w:t>
      </w:r>
      <w:r>
        <w:rPr>
          <w:rFonts w:ascii="XCharter" w:hAnsi="XCharter" w:cs="XCharter" w:eastAsia="XCharter"/>
          <w:sz w:val="22"/>
        </w:rPr>
        <w:t xml:space="preserve"> </w:t>
      </w:r>
      <w:hyperlink r:id="rId189">
        <w:r>
          <w:rPr>
            <w:rStyle w:val="Hyperlink"/>
            <w:rFonts w:ascii="XCharter" w:hAnsi="XCharter" w:cs="XCharter" w:eastAsia="XCharter"/>
            <w:color w:val="000080"/>
            <w:sz w:val="22"/>
            <w:u w:val="none"/>
          </w:rPr>
          <w:t xml:space="preserve">Aboard</w:t>
        </w:r>
      </w:hyperlink>
      <w:r>
        <w:rPr>
          <w:rFonts w:ascii="XCharter" w:hAnsi="XCharter" w:cs="XCharter" w:eastAsia="XCharter"/>
          <w:sz w:val="22"/>
        </w:rPr>
        <w:t xml:space="preserve">, a shared message board on which the author assigned, reviewed and tracked work across agent sessions, and</w:t>
      </w:r>
      <w:r>
        <w:rPr>
          <w:rFonts w:ascii="XCharter" w:hAnsi="XCharter" w:cs="XCharter" w:eastAsia="XCharter"/>
          <w:sz w:val="22"/>
        </w:rPr>
        <w:t xml:space="preserve"> </w:t>
      </w:r>
      <w:hyperlink r:id="rId190">
        <w:r>
          <w:rPr>
            <w:rStyle w:val="Hyperlink"/>
            <w:rFonts w:ascii="XCharter" w:hAnsi="XCharter" w:cs="XCharter" w:eastAsia="XCharter"/>
            <w:color w:val="000080"/>
            <w:sz w:val="22"/>
            <w:u w:val="none"/>
          </w:rPr>
          <w:t xml:space="preserve">Leaf</w:t>
        </w:r>
      </w:hyperlink>
      <w:r>
        <w:rPr>
          <w:rFonts w:ascii="XCharter" w:hAnsi="XCharter" w:cs="XCharter" w:eastAsia="XCharter"/>
          <w:sz w:val="22"/>
        </w:rPr>
        <w:t xml:space="preserve">,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footerReference w:type="default" r:id="rId9"/>
      <w:pgSz w:h="15840" w:w="12240" w:orient="portrait"/>
      <w:pgMar w:bottom="1296" w:top="1296" w:left="1296" w:right="1296" w:header="720" w:footer="576"/>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ind w:firstLine="0" w:left="0" w:right="0"/>
      <w:jc w:val="center"/>
    </w:pPr>
    <w:fldSimple w:instr="PAGE">
      <w:r>
        <w:rPr>
          <w:rFonts w:ascii="XCharter" w:hAnsi="XCharter"/>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4" Type="http://schemas.openxmlformats.org/officeDocument/2006/relationships/image" Target="media/rId164.png"/><Relationship Id="rId16" Type="http://schemas.openxmlformats.org/officeDocument/2006/relationships/image" Target="media/rId16.png"/><Relationship Id="rId33" Type="http://schemas.openxmlformats.org/officeDocument/2006/relationships/image" Target="media/rId33.png"/><Relationship Id="rId27" Type="http://schemas.openxmlformats.org/officeDocument/2006/relationships/image" Target="media/rId27.png"/><Relationship Id="rId182" Type="http://schemas.openxmlformats.org/officeDocument/2006/relationships/image" Target="media/rId182.png"/><Relationship Id="rId151" Type="http://schemas.openxmlformats.org/officeDocument/2006/relationships/image" Target="media/rId151.png"/><Relationship Id="rId142" Type="http://schemas.openxmlformats.org/officeDocument/2006/relationships/image" Target="media/rId142.png"/><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8" Type="http://schemas.openxmlformats.org/officeDocument/2006/relationships/hyperlink" Target="https://arxiv.org/abs/2410.00031" TargetMode="External"/><Relationship Id="rId82" Type="http://schemas.openxmlformats.org/officeDocument/2006/relationships/hyperlink" Target="https://arxiv.org/abs/2411.03343" TargetMode="External"/><Relationship Id="rId120"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2" Type="http://schemas.openxmlformats.org/officeDocument/2006/relationships/hyperlink" Target="https://arxiv.org/abs/2505.09388" TargetMode="External"/><Relationship Id="rId94"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100"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6"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6" Type="http://schemas.openxmlformats.org/officeDocument/2006/relationships/hyperlink" Target="https://arxiv.org/abs/2602.15198" TargetMode="External"/><Relationship Id="rId128" Type="http://schemas.openxmlformats.org/officeDocument/2006/relationships/hyperlink" Target="https://arxiv.org/abs/2603.13940" TargetMode="External"/><Relationship Id="rId114" Type="http://schemas.openxmlformats.org/officeDocument/2006/relationships/hyperlink" Target="https://arxiv.org/abs/2604.01151" TargetMode="External"/><Relationship Id="rId130" Type="http://schemas.openxmlformats.org/officeDocument/2006/relationships/hyperlink" Target="https://arxiv.org/abs/2604.16824" TargetMode="External"/><Relationship Id="rId136" Type="http://schemas.openxmlformats.org/officeDocument/2006/relationships/hyperlink" Target="https://arxiv.org/abs/2605.27593" TargetMode="External"/><Relationship Id="rId112" Type="http://schemas.openxmlformats.org/officeDocument/2006/relationships/hyperlink" Target="https://arxiv.org/abs/2605.29178" TargetMode="External"/><Relationship Id="rId84"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2" Type="http://schemas.openxmlformats.org/officeDocument/2006/relationships/hyperlink" Target="https://arxiv.org/abs/2607.05132" TargetMode="External"/><Relationship Id="rId116"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6" Type="http://schemas.openxmlformats.org/officeDocument/2006/relationships/hyperlink" Target="https://arxiv.org/abs/2609.09090" TargetMode="External"/><Relationship Id="rId124" Type="http://schemas.openxmlformats.org/officeDocument/2006/relationships/hyperlink" Target="https://arxiv.org/abs/2609.24967" TargetMode="External"/><Relationship Id="rId108"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4"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80" Type="http://schemas.openxmlformats.org/officeDocument/2006/relationships/hyperlink" Target="https://arxiv.org/abs/2610.24048"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89" Type="http://schemas.openxmlformats.org/officeDocument/2006/relationships/hyperlink" Target="https://github.com/leonidas1712/aboard" TargetMode="External"/><Relationship Id="rId190" Type="http://schemas.openxmlformats.org/officeDocument/2006/relationships/hyperlink" Target="https://github.com/leonidas1712/leaf" TargetMode="External"/><Relationship Id="rId118" Type="http://schemas.openxmlformats.org/officeDocument/2006/relationships/hyperlink" Target="https://github.com/soham-padia/pre-sycophancy-study" TargetMode="External"/><Relationship Id="rId110" Type="http://schemas.openxmlformats.org/officeDocument/2006/relationships/hyperlink" Target="https://huggingface.co/Qwen/Qwen3-32B" TargetMode="External"/><Relationship Id="rId102" Type="http://schemas.openxmlformats.org/officeDocument/2006/relationships/hyperlink" Target="https://huggingface.co/openai/gpt-oss-20b" TargetMode="External"/><Relationship Id="rId106"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4" Type="http://schemas.openxmlformats.org/officeDocument/2006/relationships/hyperlink" Target="https://openrouter.ai/openai/gpt-6-luna-decisions" TargetMode="External"/><Relationship Id="rId98"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2"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90" Type="http://schemas.openxmlformats.org/officeDocument/2006/relationships/hyperlink" Target="https://www.usenix.org/conference/usenixsecurity24/presentation/liu-yupei" TargetMode="Externa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8" Type="http://schemas.openxmlformats.org/officeDocument/2006/relationships/hyperlink" Target="https://arxiv.org/abs/2410.00031" TargetMode="External"/><Relationship Id="rId82" Type="http://schemas.openxmlformats.org/officeDocument/2006/relationships/hyperlink" Target="https://arxiv.org/abs/2411.03343" TargetMode="External"/><Relationship Id="rId120"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2" Type="http://schemas.openxmlformats.org/officeDocument/2006/relationships/hyperlink" Target="https://arxiv.org/abs/2505.09388" TargetMode="External"/><Relationship Id="rId94"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100"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6"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6" Type="http://schemas.openxmlformats.org/officeDocument/2006/relationships/hyperlink" Target="https://arxiv.org/abs/2602.15198" TargetMode="External"/><Relationship Id="rId128" Type="http://schemas.openxmlformats.org/officeDocument/2006/relationships/hyperlink" Target="https://arxiv.org/abs/2603.13940" TargetMode="External"/><Relationship Id="rId114" Type="http://schemas.openxmlformats.org/officeDocument/2006/relationships/hyperlink" Target="https://arxiv.org/abs/2604.01151" TargetMode="External"/><Relationship Id="rId130" Type="http://schemas.openxmlformats.org/officeDocument/2006/relationships/hyperlink" Target="https://arxiv.org/abs/2604.16824" TargetMode="External"/><Relationship Id="rId136" Type="http://schemas.openxmlformats.org/officeDocument/2006/relationships/hyperlink" Target="https://arxiv.org/abs/2605.27593" TargetMode="External"/><Relationship Id="rId112" Type="http://schemas.openxmlformats.org/officeDocument/2006/relationships/hyperlink" Target="https://arxiv.org/abs/2605.29178" TargetMode="External"/><Relationship Id="rId84"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2" Type="http://schemas.openxmlformats.org/officeDocument/2006/relationships/hyperlink" Target="https://arxiv.org/abs/2607.05132" TargetMode="External"/><Relationship Id="rId116"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6" Type="http://schemas.openxmlformats.org/officeDocument/2006/relationships/hyperlink" Target="https://arxiv.org/abs/2609.09090" TargetMode="External"/><Relationship Id="rId124" Type="http://schemas.openxmlformats.org/officeDocument/2006/relationships/hyperlink" Target="https://arxiv.org/abs/2609.24967" TargetMode="External"/><Relationship Id="rId108"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4"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80" Type="http://schemas.openxmlformats.org/officeDocument/2006/relationships/hyperlink" Target="https://arxiv.org/abs/2610.24048"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89" Type="http://schemas.openxmlformats.org/officeDocument/2006/relationships/hyperlink" Target="https://github.com/leonidas1712/aboard" TargetMode="External"/><Relationship Id="rId190" Type="http://schemas.openxmlformats.org/officeDocument/2006/relationships/hyperlink" Target="https://github.com/leonidas1712/leaf" TargetMode="External"/><Relationship Id="rId118" Type="http://schemas.openxmlformats.org/officeDocument/2006/relationships/hyperlink" Target="https://github.com/soham-padia/pre-sycophancy-study" TargetMode="External"/><Relationship Id="rId110" Type="http://schemas.openxmlformats.org/officeDocument/2006/relationships/hyperlink" Target="https://huggingface.co/Qwen/Qwen3-32B" TargetMode="External"/><Relationship Id="rId102" Type="http://schemas.openxmlformats.org/officeDocument/2006/relationships/hyperlink" Target="https://huggingface.co/openai/gpt-oss-20b" TargetMode="External"/><Relationship Id="rId106"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4" Type="http://schemas.openxmlformats.org/officeDocument/2006/relationships/hyperlink" Target="https://openrouter.ai/openai/gpt-6-luna-decisions" TargetMode="External"/><Relationship Id="rId98"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2"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90"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2026-10-26T08:59:11Z</dcterms:created>
  <dcterms:modified xsi:type="dcterms:W3CDTF">2026-10-26T08:59:11Z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