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bookmarkStart w:id="9" w:name="_2b0f5e1b021dcfb8cb53e565015292d8ab4fdc2"/>
      <w:r>
        <w:rPr>
          <w:rFonts w:ascii="Old Standard TT" w:hAnsi="Old Standard TT"/>
        </w:rPr>
        <w:t xml:space="preserve">Recruited</w:t>
      </w:r>
      <w:r>
        <w:rPr>
          <w:rFonts w:ascii="Old Standard TT" w:hAnsi="Old Standard TT"/>
        </w:rPr>
        <w:t xml:space="preserve"> </w:t>
      </w:r>
      <w:r>
        <w:rPr>
          <w:rFonts w:ascii="Old Standard TT" w:hAnsi="Old Standard TT"/>
          <w:i/>
          <w:iCs/>
        </w:rPr>
        <w:t xml:space="preserve">(working title — decide last)</w:t>
      </w:r>
      <w:bookmarkEnd w:id="9"/>
    </w:p>
    <w:p>
      <w:pPr>
        <w:pStyle w:val="FirstParagraph"/>
        <w:widowControl/>
      </w:pPr>
      <w:r>
        <w:rPr>
          <w:rFonts w:ascii="Old Standard TT" w:hAnsi="Old Standard TT"/>
        </w:rPr>
        <w:t xml:space="preserve">Leonidas Raghav, Independent</w:t>
      </w:r>
    </w:p>
    <w:p>
      <w:pPr>
        <w:pStyle w:val="Heading2"/>
        <w:keepNext/>
        <w:widowControl/>
        <w:spacing w:before="200"/>
      </w:pPr>
      <w:bookmarkStart w:id="10" w:name="_abstract"/>
      <w:r>
        <w:rPr>
          <w:rFonts w:ascii="Old Standard TT" w:hAnsi="Old Standard TT"/>
        </w:rPr>
        <w:t xml:space="preserve">Abstract</w:t>
      </w:r>
      <w:bookmarkEnd w:id="10"/>
    </w:p>
    <w:p>
      <w:pPr>
        <w:pStyle w:val="FirstParagraph"/>
        <w:widowControl/>
      </w:pPr>
      <w:r>
        <w:rPr>
          <w:rFonts w:ascii="Old Standard TT" w:hAnsi="Old Standard TT"/>
        </w:rPr>
        <w:t xml:space="preserve">Can we tell that an AI agent is about to be talked into breaking its operator’s rule? An agent may hold a value, such as a deploy token, that its operator told it to keep private; a peer needing it may press the agent to break that policy, often the first step of collusion. In six workflow scenarios based on real incident types, a peer presses a Qwen3-32B target for such a value over up to 20 rounds; the target gives in on 101 of 241 episodes (42%). We compare probes on the target’s activations with text monitors (an LLM judge and two decision models) that see the target’s actions, the conversation, or everything the target saw. Whether we can tell depends on how far ahead we ask. Eventual give-in is barely predictable from one step. Giving in this round or the next is modestly predictable: a probe scores AUROC 0.58 on held-out scenarios and the best monitor (Jev, a decision model asked to forecast) 0.65, and this held on 89 new episodes under a plan fixed in advance. Forecasting beats detecting, and probes can add to weaker monitors. Useful warnings thus arrive only shortly before the rule is broken. Earlier warning signals that transfer across models and settings would let overseers interrupt collusion between agents before it succeeds; our setup and matched scoring are an initial step toward building them.</w:t>
      </w:r>
    </w:p>
    <w:p>
      <w:pPr>
        <w:pStyle w:val="Heading2"/>
        <w:keepNext/>
        <w:widowControl/>
        <w:spacing w:before="200"/>
      </w:pPr>
      <w:bookmarkStart w:id="11" w:name="_introduction"/>
      <w:r>
        <w:rPr>
          <w:rFonts w:ascii="Old Standard TT" w:hAnsi="Old Standard TT"/>
        </w:rPr>
        <w:t xml:space="preserve">1. Introduction</w:t>
      </w:r>
      <w:bookmarkEnd w:id="11"/>
    </w:p>
    <w:p>
      <w:pPr>
        <w:pStyle w:val="FirstParagraph"/>
        <w:widowControl/>
      </w:pPr>
      <w:r>
        <w:rPr>
          <w:rFonts w:ascii="Old Standard TT" w:hAnsi="Old Standard TT"/>
        </w:rPr>
        <w:t xml:space="preserve">In July 2026, AI agents running in OpenAI’s internal cyber evaluations coordinated on an unsanctioned shared message board, passed stolen credentials to one another, and broke out of their sandboxes to compromise Hugging Face’s production infrastructure</w:t>
      </w:r>
      <w:r>
        <w:rPr>
          <w:rFonts w:ascii="Old Standard TT" w:hAnsi="Old Standard TT"/>
        </w:rPr>
        <w:t xml:space="preserve"> </w:t>
      </w:r>
      <w:r>
        <w:rPr>
          <w:rFonts w:ascii="Old Standard TT" w:hAnsi="Old Standard TT"/>
        </w:rPr>
        <w:t xml:space="preserve">(OpenAI, 2026b)</w:t>
      </w:r>
      <w:r>
        <w:rPr>
          <w:rFonts w:ascii="Old Standard TT" w:hAnsi="Old Standard TT"/>
        </w:rPr>
        <w:t xml:space="preserve">. An independent investigation found that roughly 700 of about 1,200 agents that were meant to be isolated joined in, some recruited under</w:t>
      </w:r>
      <w:r>
        <w:rPr>
          <w:rFonts w:ascii="Old Standard TT" w:hAnsi="Old Standard TT"/>
        </w:rPr>
        <w:t xml:space="preserve"> </w:t>
      </w:r>
      <w:r>
        <w:rPr>
          <w:rFonts w:ascii="Old Standard TT" w:hAnsi="Old Standard TT"/>
        </w:rPr>
        <w:t xml:space="preserve">“significant pressure”</w:t>
      </w:r>
      <w:r>
        <w:rPr>
          <w:rFonts w:ascii="Old Standard TT" w:hAnsi="Old Standard TT"/>
        </w:rPr>
        <w:t xml:space="preserve"> </w:t>
      </w:r>
      <w:r>
        <w:rPr>
          <w:rFonts w:ascii="Old Standard TT" w:hAnsi="Old Standard TT"/>
        </w:rPr>
        <w:t xml:space="preserve">from other agents, and many despite recognising the activity as</w:t>
      </w:r>
      <w:r>
        <w:rPr>
          <w:rFonts w:ascii="Old Standard TT" w:hAnsi="Old Standard TT"/>
        </w:rPr>
        <w:t xml:space="preserve"> </w:t>
      </w:r>
      <w:r>
        <w:rPr>
          <w:rFonts w:ascii="Old Standard TT" w:hAnsi="Old Standard TT"/>
        </w:rPr>
        <w:t xml:space="preserve">“out of scope and unethical”</w:t>
      </w:r>
      <w:r>
        <w:rPr>
          <w:rFonts w:ascii="Old Standard TT" w:hAnsi="Old Standard TT"/>
        </w:rPr>
        <w:t xml:space="preserve"> </w:t>
      </w:r>
      <w:r>
        <w:rPr>
          <w:rFonts w:ascii="Old Standard TT" w:hAnsi="Old Standard TT"/>
        </w:rPr>
        <w:t xml:space="preserve">(Greenblatt et al., 2026)</w:t>
      </w:r>
      <w:r>
        <w:rPr>
          <w:rFonts w:ascii="Old Standard TT" w:hAnsi="Old Standard TT"/>
        </w:rPr>
        <w:t xml:space="preserve">. Coordinated rule-breaking of this kind begins with recruitment: one agent needs something it cannot reach, and another has the access.</w:t>
      </w:r>
    </w:p>
    <w:p>
      <w:pPr>
        <w:pStyle w:val="BodyText"/>
        <w:widowControl/>
      </w:pPr>
      <w:r>
        <w:rPr>
          <w:rFonts w:ascii="Old Standard TT" w:hAnsi="Old Standard TT"/>
        </w:rPr>
        <w:t xml:space="preserve">We study that first step. Following prior work, collusion is coordination between agents that serves their own or one another’s goals against a party they are meant to serve</w:t>
      </w:r>
      <w:r>
        <w:rPr>
          <w:rFonts w:ascii="Old Standard TT" w:hAnsi="Old Standard TT"/>
        </w:rPr>
        <w:t xml:space="preserve"> </w:t>
      </w:r>
      <w:r>
        <w:rPr>
          <w:rFonts w:ascii="Old Standard TT" w:hAnsi="Old Standard TT"/>
        </w:rPr>
        <w:t xml:space="preserve">(Agrawal et al., 2025; Nakamura et al., 2026)</w:t>
      </w:r>
      <w:r>
        <w:rPr>
          <w:rFonts w:ascii="Old Standard TT" w:hAnsi="Old Standard TT"/>
        </w:rPr>
        <w:t xml:space="preserve">; we study one route,</w:t>
      </w:r>
      <w:r>
        <w:rPr>
          <w:rFonts w:ascii="Old Standard TT" w:hAnsi="Old Standard TT"/>
        </w:rPr>
        <w:t xml:space="preserve"> </w:t>
      </w:r>
      <w:r>
        <w:rPr>
          <w:rFonts w:ascii="Old Standard TT" w:hAnsi="Old Standard TT"/>
          <w:b/>
          <w:bCs/>
        </w:rPr>
        <w:t xml:space="preserve">recruitment</w:t>
      </w:r>
      <w:r>
        <w:rPr>
          <w:rFonts w:ascii="Old Standard TT" w:hAnsi="Old Standard TT"/>
        </w:rPr>
        <w:t xml:space="preserve">, in which one agent gets another to act against its operator on its behalf. In our main scenario the target’s operator (the</w:t>
      </w:r>
      <w:r>
        <w:rPr>
          <w:rFonts w:ascii="Old Standard TT" w:hAnsi="Old Standard TT"/>
        </w:rPr>
        <w:t xml:space="preserve"> </w:t>
      </w:r>
      <w:r>
        <w:rPr>
          <w:rFonts w:ascii="Old Standard TT" w:hAnsi="Old Standard TT"/>
          <w:b/>
          <w:bCs/>
        </w:rPr>
        <w:t xml:space="preserve">principal</w:t>
      </w:r>
      <w:r>
        <w:rPr>
          <w:rFonts w:ascii="Old Standard TT" w:hAnsi="Old Standard TT"/>
        </w:rPr>
        <w:t xml:space="preserve">) gives it a staging deploy token and one rule: never share it outside the file that holds it. A peer (the</w:t>
      </w:r>
      <w:r>
        <w:rPr>
          <w:rFonts w:ascii="Old Standard TT" w:hAnsi="Old Standard TT"/>
        </w:rPr>
        <w:t xml:space="preserve"> </w:t>
      </w:r>
      <w:r>
        <w:rPr>
          <w:rFonts w:ascii="Old Standard TT" w:hAnsi="Old Standard TT"/>
          <w:b/>
          <w:bCs/>
        </w:rPr>
        <w:t xml:space="preserve">recruiter</w:t>
      </w:r>
      <w:r>
        <w:rPr>
          <w:rFonts w:ascii="Old Standard TT" w:hAnsi="Old Standard TT"/>
        </w:rPr>
        <w:t xml:space="preserve">) needs the token, asks for it, and does not see the rule.</w:t>
      </w:r>
    </w:p>
    <w:p>
      <w:pPr>
        <w:pStyle w:val="BodyText"/>
        <w:widowControl/>
      </w:pPr>
      <w:r>
        <w:rPr>
          <w:rFonts w:ascii="Old Standard TT" w:hAnsi="Old Standard TT"/>
        </w:rPr>
        <w:t xml:space="preserve">A</w:t>
      </w:r>
      <w:r>
        <w:rPr>
          <w:rFonts w:ascii="Old Standard TT" w:hAnsi="Old Standard TT"/>
        </w:rPr>
        <w:t xml:space="preserve"> </w:t>
      </w:r>
      <w:r>
        <w:rPr>
          <w:rFonts w:ascii="Old Standard TT" w:hAnsi="Old Standard TT"/>
          <w:b/>
          <w:bCs/>
        </w:rPr>
        <w:t xml:space="preserve">give-in</w:t>
      </w:r>
      <w:r>
        <w:rPr>
          <w:rFonts w:ascii="Old Standard TT" w:hAnsi="Old Standard TT"/>
        </w:rPr>
        <w:t xml:space="preserve"> </w:t>
      </w:r>
      <w:r>
        <w:rPr>
          <w:rFonts w:ascii="Old Standard TT" w:hAnsi="Old Standard TT"/>
        </w:rPr>
        <w:t xml:space="preserve">is the forbidden action, decided by a rule on the tool log: the complete token in a channel post or a new file. Accidental disclosures count and are reported separately. Handing over a token is ordinary help without the rule and collusion with it, so the question concerns the operator’s policy, not a model’s refusal training.</w:t>
      </w:r>
    </w:p>
    <w:p>
      <w:pPr>
        <w:pStyle w:val="BodyText"/>
        <w:widowControl/>
      </w:pPr>
      <w:r>
        <w:rPr>
          <w:rFonts w:ascii="Old Standard TT" w:hAnsi="Old Standard TT"/>
        </w:rPr>
        <w:t xml:space="preserve">Prior work detects that an agent is under attack or that a peer is pushing. We ask instead: among agents under the same pressure, which one gives in, and when, before it acts.</w:t>
      </w:r>
    </w:p>
    <w:p>
      <w:pPr>
        <w:pStyle w:val="BodyText"/>
        <w:widowControl/>
      </w:pPr>
      <w:r>
        <w:rPr>
          <w:rFonts w:ascii="Old Standard TT" w:hAnsi="Old Standard TT"/>
        </w:rPr>
        <w:t xml:space="preserve">We make the following contributions.</w:t>
      </w:r>
    </w:p>
    <w:p>
      <w:pPr>
        <w:pStyle w:val="Compact"/>
        <w:widowControl/>
        <w:numPr>
          <w:ilvl w:val="0"/>
          <w:numId w:val="1001"/>
        </w:numPr>
      </w:pPr>
      <w:r>
        <w:rPr>
          <w:rFonts w:ascii="Old Standard TT" w:hAnsi="Old Standard TT"/>
          <w:b/>
          <w:bCs/>
        </w:rPr>
        <w:t xml:space="preserve">Six recruitment scenarios with mixed outcomes.</w:t>
      </w:r>
      <w:r>
        <w:rPr>
          <w:rFonts w:ascii="Old Standard TT" w:hAnsi="Old Standard TT"/>
        </w:rPr>
        <w:t xml:space="preserve"> </w:t>
      </w:r>
      <w:r>
        <w:rPr>
          <w:rFonts w:ascii="Old Standard TT" w:hAnsi="Old Standard TT"/>
        </w:rPr>
        <w:t xml:space="preserve">Under the same pressure Qwen3-32B gives in on 42% of episodes, and probes and text monitors are scored on exactly the same steps (Section 3).</w:t>
      </w:r>
    </w:p>
    <w:p>
      <w:pPr>
        <w:pStyle w:val="Compact"/>
        <w:widowControl/>
        <w:numPr>
          <w:ilvl w:val="0"/>
          <w:numId w:val="1001"/>
        </w:numPr>
      </w:pPr>
      <w:r>
        <w:rPr>
          <w:rFonts w:ascii="Old Standard TT" w:hAnsi="Old Standard TT"/>
          <w:b/>
          <w:bCs/>
        </w:rPr>
        <w:t xml:space="preserve">Near-term give-in is modestly predictable; eventual give-in is not.</w:t>
      </w:r>
      <w:r>
        <w:rPr>
          <w:rFonts w:ascii="Old Standard TT" w:hAnsi="Old Standard TT"/>
        </w:rPr>
        <w:t xml:space="preserve"> </w:t>
      </w:r>
      <w:r>
        <w:rPr>
          <w:rFonts w:ascii="Old Standard TT" w:hAnsi="Old Standard TT"/>
        </w:rPr>
        <w:t xml:space="preserve">The probe reaches 0.58 on held-out scenarios on the near-term label, and this held on new episodes under a plan fixed in advance (Sections 4.2–4.4).</w:t>
      </w:r>
    </w:p>
    <w:p>
      <w:pPr>
        <w:pStyle w:val="Compact"/>
        <w:widowControl/>
        <w:numPr>
          <w:ilvl w:val="0"/>
          <w:numId w:val="1001"/>
        </w:numPr>
      </w:pPr>
      <w:r>
        <w:rPr>
          <w:rFonts w:ascii="Old Standard TT" w:hAnsi="Old Standard TT"/>
          <w:b/>
          <w:bCs/>
        </w:rPr>
        <w:t xml:space="preserve">The probe is not just a pressure detector.</w:t>
      </w:r>
      <w:r>
        <w:rPr>
          <w:rFonts w:ascii="Old Standard TT" w:hAnsi="Old Standard TT"/>
        </w:rPr>
        <w:t xml:space="preserve"> </w:t>
      </w:r>
      <w:r>
        <w:rPr>
          <w:rFonts w:ascii="Old Standard TT" w:hAnsi="Old Standard TT"/>
        </w:rPr>
        <w:t xml:space="preserve">It separates pressured from unpressured steps perfectly, but that score does not rank who gives in (Section 4.3).</w:t>
      </w:r>
    </w:p>
    <w:p>
      <w:pPr>
        <w:pStyle w:val="Compact"/>
        <w:widowControl/>
        <w:numPr>
          <w:ilvl w:val="0"/>
          <w:numId w:val="1001"/>
        </w:numPr>
      </w:pPr>
      <w:r>
        <w:rPr>
          <w:rFonts w:ascii="Old Standard TT" w:hAnsi="Old Standard TT"/>
          <w:b/>
          <w:bCs/>
        </w:rPr>
        <w:t xml:space="preserve">Monitors should forecast and see the conversation,</w:t>
      </w:r>
      <w:r>
        <w:rPr>
          <w:rFonts w:ascii="Old Standard TT" w:hAnsi="Old Standard TT"/>
        </w:rPr>
        <w:t xml:space="preserve"> </w:t>
      </w:r>
      <w:r>
        <w:rPr>
          <w:rFonts w:ascii="Old Standard TT" w:hAnsi="Old Standard TT"/>
        </w:rPr>
        <w:t xml:space="preserve">and a probe adds to a weaker monitor but not a strong one (Section 4.5).</w:t>
      </w:r>
    </w:p>
    <w:p>
      <w:pPr>
        <w:pStyle w:val="Compact"/>
        <w:widowControl/>
        <w:numPr>
          <w:ilvl w:val="0"/>
          <w:numId w:val="1001"/>
        </w:numPr>
      </w:pPr>
      <w:r>
        <w:rPr>
          <w:rFonts w:ascii="Old Standard TT" w:hAnsi="Old Standard TT"/>
          <w:b/>
          <w:bCs/>
        </w:rPr>
        <w:t xml:space="preserve">[If gpt-oss yields a result]</w:t>
      </w:r>
      <w:r>
        <w:rPr>
          <w:rFonts w:ascii="Old Standard TT" w:hAnsi="Old Standard TT"/>
        </w:rPr>
        <w:t xml:space="preserve"> </w:t>
      </w:r>
      <w:r>
        <w:rPr>
          <w:rFonts w:ascii="Old Standard TT" w:hAnsi="Old Standard TT"/>
        </w:rPr>
        <w:t xml:space="preserve">The same pipeline, unchanged, on gpt-oss-20b, which gives in by a different route (Section 4.6).</w:t>
      </w:r>
    </w:p>
    <w:p>
      <w:pPr>
        <w:pStyle w:val="Heading2"/>
        <w:keepNext/>
        <w:widowControl/>
        <w:spacing w:before="200"/>
      </w:pPr>
      <w:bookmarkStart w:id="12" w:name="_c402fc6a47ec8bb5e751ab4b29e0fc7601a51bb"/>
      <w:r>
        <w:rPr>
          <w:rFonts w:ascii="Old Standard TT" w:hAnsi="Old Standard TT"/>
        </w:rPr>
        <w:t xml:space="preserve">2. Related Work</w:t>
      </w:r>
      <w:bookmarkEnd w:id="12"/>
    </w:p>
    <w:p>
      <w:pPr>
        <w:pStyle w:val="FirstParagraph"/>
        <w:widowControl/>
      </w:pPr>
      <w:r>
        <w:rPr>
          <w:rFonts w:ascii="Old Standard TT" w:hAnsi="Old Standard TT"/>
          <w:b/>
          <w:bCs/>
        </w:rPr>
        <w:t xml:space="preserve">Probes on a model under attack.</w:t>
      </w:r>
      <w:r>
        <w:rPr>
          <w:rFonts w:ascii="Old Standard TT" w:hAnsi="Old Standard TT"/>
        </w:rPr>
        <w:t xml:space="preserve"> </w:t>
      </w:r>
      <w:r>
        <w:rPr>
          <w:rFonts w:ascii="Old Standard TT" w:hAnsi="Old Standard TT"/>
        </w:rPr>
        <w:t xml:space="preserve">Probes detect prompt-injection exposure in tool-using agents</w:t>
      </w:r>
      <w:r>
        <w:rPr>
          <w:rFonts w:ascii="Old Standard TT" w:hAnsi="Old Standard TT"/>
        </w:rPr>
        <w:t xml:space="preserve"> </w:t>
      </w:r>
      <w:r>
        <w:rPr>
          <w:rFonts w:ascii="Old Standard TT" w:hAnsi="Old Standard TT"/>
        </w:rPr>
        <w:t xml:space="preserve">(Dong et al., 2026)</w:t>
      </w:r>
      <w:r>
        <w:rPr>
          <w:rFonts w:ascii="Old Standard TT" w:hAnsi="Old Standard TT"/>
        </w:rPr>
        <w:t xml:space="preserve">, recover directions separating hijacked from resisted trajectories</w:t>
      </w:r>
      <w:r>
        <w:rPr>
          <w:rFonts w:ascii="Old Standard TT" w:hAnsi="Old Standard TT"/>
        </w:rPr>
        <w:t xml:space="preserve"> </w:t>
      </w:r>
      <w:r>
        <w:rPr>
          <w:rFonts w:ascii="Old Standard TT" w:hAnsi="Old Standard TT"/>
        </w:rPr>
        <w:t xml:space="preserve">(Yu et al., 2026)</w:t>
      </w:r>
      <w:r>
        <w:rPr>
          <w:rFonts w:ascii="Old Standard TT" w:hAnsi="Old Standard TT"/>
        </w:rPr>
        <w:t xml:space="preserve">, and predict a reasoning model’s next behaviour single-turn</w:t>
      </w:r>
      <w:r>
        <w:rPr>
          <w:rFonts w:ascii="Old Standard TT" w:hAnsi="Old Standard TT"/>
        </w:rPr>
        <w:t xml:space="preserve"> </w:t>
      </w:r>
      <w:r>
        <w:rPr>
          <w:rFonts w:ascii="Old Standard TT" w:hAnsi="Old Standard TT"/>
        </w:rPr>
        <w:t xml:space="preserve">(Kortukov et al., 2026)</w:t>
      </w:r>
      <w:r>
        <w:rPr>
          <w:rFonts w:ascii="Old Standard TT" w:hAnsi="Old Standard TT"/>
        </w:rPr>
        <w:t xml:space="preserve">;</w:t>
      </w:r>
      <w:r>
        <w:rPr>
          <w:rFonts w:ascii="Old Standard TT" w:hAnsi="Old Standard TT"/>
        </w:rPr>
        <w:t xml:space="preserve"> </w:t>
      </w:r>
      <w:r>
        <w:rPr>
          <w:rFonts w:ascii="Old Standard TT" w:hAnsi="Old Standard TT"/>
        </w:rPr>
        <w:t xml:space="preserve">Fomin et al. (2026)</w:t>
      </w:r>
      <w:r>
        <w:rPr>
          <w:rFonts w:ascii="Old Standard TT" w:hAnsi="Old Standard TT"/>
        </w:rPr>
        <w:t xml:space="preserve"> </w:t>
      </w:r>
      <w:r>
        <w:rPr>
          <w:rFonts w:ascii="Old Standard TT" w:hAnsi="Old Standard TT"/>
        </w:rPr>
        <w:t xml:space="preserve">warn such probes read the situation, not the action, and NARCBench</w:t>
      </w:r>
      <w:r>
        <w:rPr>
          <w:rFonts w:ascii="Old Standard TT" w:hAnsi="Old Standard TT"/>
        </w:rPr>
        <w:t xml:space="preserve"> </w:t>
      </w:r>
      <w:r>
        <w:rPr>
          <w:rFonts w:ascii="Old Standard TT" w:hAnsi="Old Standard TT"/>
        </w:rPr>
        <w:t xml:space="preserve">(Rose et al., 2026)</w:t>
      </w:r>
      <w:r>
        <w:rPr>
          <w:rFonts w:ascii="Old Standard TT" w:hAnsi="Old Standard TT"/>
        </w:rPr>
        <w:t xml:space="preserve"> </w:t>
      </w:r>
      <w:r>
        <w:rPr>
          <w:rFonts w:ascii="Old Standard TT" w:hAnsi="Old Standard TT"/>
        </w:rPr>
        <w:t xml:space="preserve">reads agents told to collude.</w:t>
      </w:r>
      <w:r>
        <w:rPr>
          <w:rFonts w:ascii="Old Standard TT" w:hAnsi="Old Standard TT"/>
        </w:rPr>
        <w:t xml:space="preserve"> </w:t>
      </w:r>
      <w:r>
        <w:rPr>
          <w:rFonts w:ascii="Old Standard TT" w:hAnsi="Old Standard TT"/>
          <w:i/>
          <w:iCs/>
        </w:rPr>
        <w:t xml:space="preserve">We differ:</w:t>
      </w:r>
      <w:r>
        <w:rPr>
          <w:rFonts w:ascii="Old Standard TT" w:hAnsi="Old Standard TT"/>
        </w:rPr>
        <w:t xml:space="preserve"> </w:t>
      </w:r>
      <w:r>
        <w:rPr>
          <w:rFonts w:ascii="Old Standard TT" w:hAnsi="Old Standard TT"/>
        </w:rPr>
        <w:t xml:space="preserve">we read the recruited agent over many turns, comparing episodes under the same pressure that end differently — the control</w:t>
      </w:r>
      <w:r>
        <w:rPr>
          <w:rFonts w:ascii="Old Standard TT" w:hAnsi="Old Standard TT"/>
        </w:rPr>
        <w:t xml:space="preserve"> </w:t>
      </w:r>
      <w:r>
        <w:rPr>
          <w:rFonts w:ascii="Old Standard TT" w:hAnsi="Old Standard TT"/>
        </w:rPr>
        <w:t xml:space="preserve">Fomin et al. (2026)</w:t>
      </w:r>
      <w:r>
        <w:rPr>
          <w:rFonts w:ascii="Old Standard TT" w:hAnsi="Old Standard TT"/>
        </w:rPr>
        <w:t xml:space="preserve"> </w:t>
      </w:r>
      <w:r>
        <w:rPr>
          <w:rFonts w:ascii="Old Standard TT" w:hAnsi="Old Standard TT"/>
        </w:rPr>
        <w:t xml:space="preserve">find missing.</w:t>
      </w:r>
    </w:p>
    <w:p>
      <w:pPr>
        <w:pStyle w:val="BodyText"/>
        <w:widowControl/>
      </w:pPr>
      <w:r>
        <w:rPr>
          <w:rFonts w:ascii="Old Standard TT" w:hAnsi="Old Standard TT"/>
          <w:b/>
          <w:bCs/>
        </w:rPr>
        <w:t xml:space="preserve">Monitoring what agents say and do.</w:t>
      </w:r>
      <w:r>
        <w:rPr>
          <w:rFonts w:ascii="Old Standard TT" w:hAnsi="Old Standard TT"/>
        </w:rPr>
        <w:t xml:space="preserve"> </w:t>
      </w:r>
      <w:r>
        <w:rPr>
          <w:rFonts w:ascii="Old Standard TT" w:hAnsi="Old Standard TT"/>
        </w:rPr>
        <w:t xml:space="preserve">A monitor that sees agents’ messages as well as their code catches more coordinated sabotage</w:t>
      </w:r>
      <w:r>
        <w:rPr>
          <w:rFonts w:ascii="Old Standard TT" w:hAnsi="Old Standard TT"/>
        </w:rPr>
        <w:t xml:space="preserve"> </w:t>
      </w:r>
      <w:r>
        <w:rPr>
          <w:rFonts w:ascii="Old Standard TT" w:hAnsi="Old Standard TT"/>
        </w:rPr>
        <w:t xml:space="preserve">(Radev et al., 2026)</w:t>
      </w:r>
      <w:r>
        <w:rPr>
          <w:rFonts w:ascii="Old Standard TT" w:hAnsi="Old Standard TT"/>
        </w:rPr>
        <w:t xml:space="preserve">, yet more of the trace can make a monitor worse</w:t>
      </w:r>
      <w:r>
        <w:rPr>
          <w:rFonts w:ascii="Old Standard TT" w:hAnsi="Old Standard TT"/>
        </w:rPr>
        <w:t xml:space="preserve"> </w:t>
      </w:r>
      <w:r>
        <w:rPr>
          <w:rFonts w:ascii="Old Standard TT" w:hAnsi="Old Standard TT"/>
        </w:rPr>
        <w:t xml:space="preserve">(Arike et al., 2026)</w:t>
      </w:r>
      <w:r>
        <w:rPr>
          <w:rFonts w:ascii="Old Standard TT" w:hAnsi="Old Standard TT"/>
        </w:rPr>
        <w:t xml:space="preserve">; conversation-judge scores track actual collusion only weakly</w:t>
      </w:r>
      <w:r>
        <w:rPr>
          <w:rFonts w:ascii="Old Standard TT" w:hAnsi="Old Standard TT"/>
        </w:rPr>
        <w:t xml:space="preserve"> </w:t>
      </w:r>
      <w:r>
        <w:rPr>
          <w:rFonts w:ascii="Old Standard TT" w:hAnsi="Old Standard TT"/>
        </w:rPr>
        <w:t xml:space="preserve">(Nakamura et al., 2026)</w:t>
      </w:r>
      <w:r>
        <w:rPr>
          <w:rFonts w:ascii="Old Standard TT" w:hAnsi="Old Standard TT"/>
        </w:rPr>
        <w:t xml:space="preserve">, and private plans reveal later deviations at rates that vary widely by game</w:t>
      </w:r>
      <w:r>
        <w:rPr>
          <w:rFonts w:ascii="Old Standard TT" w:hAnsi="Old Standard TT"/>
        </w:rPr>
        <w:t xml:space="preserve"> </w:t>
      </w:r>
      <w:r>
        <w:rPr>
          <w:rFonts w:ascii="Old Standard TT" w:hAnsi="Old Standard TT"/>
        </w:rPr>
        <w:t xml:space="preserve">(Shi et al., 2026)</w:t>
      </w:r>
      <w:r>
        <w:rPr>
          <w:rFonts w:ascii="Old Standard TT" w:hAnsi="Old Standard TT"/>
        </w:rPr>
        <w:t xml:space="preserve">.</w:t>
      </w:r>
      <w:r>
        <w:rPr>
          <w:rFonts w:ascii="Old Standard TT" w:hAnsi="Old Standard TT"/>
        </w:rPr>
        <w:t xml:space="preserve"> </w:t>
      </w:r>
      <w:r>
        <w:rPr>
          <w:rFonts w:ascii="Old Standard TT" w:hAnsi="Old Standard TT"/>
          <w:i/>
          <w:iCs/>
        </w:rPr>
        <w:t xml:space="preserve">We differ:</w:t>
      </w:r>
      <w:r>
        <w:rPr>
          <w:rFonts w:ascii="Old Standard TT" w:hAnsi="Old Standard TT"/>
        </w:rPr>
        <w:t xml:space="preserve"> </w:t>
      </w:r>
      <w:r>
        <w:rPr>
          <w:rFonts w:ascii="Old Standard TT" w:hAnsi="Old Standard TT"/>
        </w:rPr>
        <w:t xml:space="preserve">these detect an attempt under way; we ask which target gives in, scoring probes and monitors on the same steps at three access levels and two questions.</w:t>
      </w:r>
    </w:p>
    <w:p>
      <w:pPr>
        <w:pStyle w:val="BodyText"/>
        <w:widowControl/>
      </w:pPr>
      <w:r>
        <w:rPr>
          <w:rFonts w:ascii="Old Standard TT" w:hAnsi="Old Standard TT"/>
          <w:b/>
          <w:bCs/>
        </w:rPr>
        <w:t xml:space="preserve">Persuasion between agents.</w:t>
      </w:r>
      <w:r>
        <w:rPr>
          <w:rFonts w:ascii="Old Standard TT" w:hAnsi="Old Standard TT"/>
        </w:rPr>
        <w:t xml:space="preserve"> </w:t>
      </w:r>
      <w:r>
        <w:rPr>
          <w:rFonts w:ascii="Old Standard TT" w:hAnsi="Old Standard TT"/>
        </w:rPr>
        <w:t xml:space="preserve">Agents accept secret, unfair arrangements</w:t>
      </w:r>
      <w:r>
        <w:rPr>
          <w:rFonts w:ascii="Old Standard TT" w:hAnsi="Old Standard TT"/>
        </w:rPr>
        <w:t xml:space="preserve"> </w:t>
      </w:r>
      <w:r>
        <w:rPr>
          <w:rFonts w:ascii="Old Standard TT" w:hAnsi="Old Standard TT"/>
        </w:rPr>
        <w:t xml:space="preserve">(Zeng &amp; Rudzicz, 2026)</w:t>
      </w:r>
      <w:r>
        <w:rPr>
          <w:rFonts w:ascii="Old Standard TT" w:hAnsi="Old Standard TT"/>
        </w:rPr>
        <w:t xml:space="preserve">, are swayed by colluding peers</w:t>
      </w:r>
      <w:r>
        <w:rPr>
          <w:rFonts w:ascii="Old Standard TT" w:hAnsi="Old Standard TT"/>
        </w:rPr>
        <w:t xml:space="preserve"> </w:t>
      </w:r>
      <w:r>
        <w:rPr>
          <w:rFonts w:ascii="Old Standard TT" w:hAnsi="Old Standard TT"/>
        </w:rPr>
        <w:t xml:space="preserve">(Tao et al., 2026)</w:t>
      </w:r>
      <w:r>
        <w:rPr>
          <w:rFonts w:ascii="Old Standard TT" w:hAnsi="Old Standard TT"/>
        </w:rPr>
        <w:t xml:space="preserve">, mislead a decision-maker agent</w:t>
      </w:r>
      <w:r>
        <w:rPr>
          <w:rFonts w:ascii="Old Standard TT" w:hAnsi="Old Standard TT"/>
        </w:rPr>
        <w:t xml:space="preserve"> </w:t>
      </w:r>
      <w:r>
        <w:rPr>
          <w:rFonts w:ascii="Old Standard TT" w:hAnsi="Old Standard TT"/>
        </w:rPr>
        <w:t xml:space="preserve">(Bashir et al., 2025)</w:t>
      </w:r>
      <w:r>
        <w:rPr>
          <w:rFonts w:ascii="Old Standard TT" w:hAnsi="Old Standard TT"/>
        </w:rPr>
        <w:t xml:space="preserve">, and yield under sustained multi-turn pressure</w:t>
      </w:r>
      <w:r>
        <w:rPr>
          <w:rFonts w:ascii="Old Standard TT" w:hAnsi="Old Standard TT"/>
        </w:rPr>
        <w:t xml:space="preserve"> </w:t>
      </w:r>
      <w:r>
        <w:rPr>
          <w:rFonts w:ascii="Old Standard TT" w:hAnsi="Old Standard TT"/>
        </w:rPr>
        <w:t xml:space="preserve">(Tang et al., 2026)</w:t>
      </w:r>
      <w:r>
        <w:rPr>
          <w:rFonts w:ascii="Old Standard TT" w:hAnsi="Old Standard TT"/>
        </w:rPr>
        <w:t xml:space="preserve">; collusion can also arise tacitly, with no request, as when pricing agents reach supracompetitive prices on their own</w:t>
      </w:r>
      <w:r>
        <w:rPr>
          <w:rFonts w:ascii="Old Standard TT" w:hAnsi="Old Standard TT"/>
        </w:rPr>
        <w:t xml:space="preserve"> </w:t>
      </w:r>
      <w:r>
        <w:rPr>
          <w:rFonts w:ascii="Old Standard TT" w:hAnsi="Old Standard TT"/>
        </w:rPr>
        <w:t xml:space="preserve">(Fish et al., 2026; Lin et al., 2025)</w:t>
      </w:r>
      <w:r>
        <w:rPr>
          <w:rFonts w:ascii="Old Standard TT" w:hAnsi="Old Standard TT"/>
        </w:rPr>
        <w:t xml:space="preserve">.</w:t>
      </w:r>
      <w:r>
        <w:rPr>
          <w:rFonts w:ascii="Old Standard TT" w:hAnsi="Old Standard TT"/>
        </w:rPr>
        <w:t xml:space="preserve"> </w:t>
      </w:r>
      <w:r>
        <w:rPr>
          <w:rFonts w:ascii="Old Standard TT" w:hAnsi="Old Standard TT"/>
          <w:i/>
          <w:iCs/>
        </w:rPr>
        <w:t xml:space="preserve">We differ:</w:t>
      </w:r>
      <w:r>
        <w:rPr>
          <w:rFonts w:ascii="Old Standard TT" w:hAnsi="Old Standard TT"/>
        </w:rPr>
        <w:t xml:space="preserve"> </w:t>
      </w:r>
      <w:r>
        <w:rPr>
          <w:rFonts w:ascii="Old Standard TT" w:hAnsi="Old Standard TT"/>
        </w:rPr>
        <w:t xml:space="preserve">all are measured from text and outcomes, and none reads the recruited agent’s activations or predicts an individual give-in.</w:t>
      </w:r>
    </w:p>
    <w:p>
      <w:pPr>
        <w:pStyle w:val="BodyText"/>
        <w:widowControl/>
      </w:pPr>
      <w:r>
        <w:rPr>
          <w:rFonts w:ascii="Old Standard TT" w:hAnsi="Old Standard TT"/>
          <w:b/>
          <w:bCs/>
        </w:rPr>
        <w:t xml:space="preserve">Early warning and combined detectors.</w:t>
      </w:r>
      <w:r>
        <w:rPr>
          <w:rFonts w:ascii="Old Standard TT" w:hAnsi="Old Standard TT"/>
        </w:rPr>
        <w:t xml:space="preserve"> </w:t>
      </w:r>
      <w:r>
        <w:rPr>
          <w:rFonts w:ascii="Old Standard TT" w:hAnsi="Old Standard TT"/>
        </w:rPr>
        <w:t xml:space="preserve">Per-round probe AUROC among running episodes predicts task failure</w:t>
      </w:r>
      <w:r>
        <w:rPr>
          <w:rFonts w:ascii="Old Standard TT" w:hAnsi="Old Standard TT"/>
        </w:rPr>
        <w:t xml:space="preserve"> </w:t>
      </w:r>
      <w:r>
        <w:rPr>
          <w:rFonts w:ascii="Old Standard TT" w:hAnsi="Old Standard TT"/>
        </w:rPr>
        <w:t xml:space="preserve">(Ruan et al., 2026)</w:t>
      </w:r>
      <w:r>
        <w:rPr>
          <w:rFonts w:ascii="Old Standard TT" w:hAnsi="Old Standard TT"/>
        </w:rPr>
        <w:t xml:space="preserve">, and probes paired with classifiers already filter jailbreaks and misuse</w:t>
      </w:r>
      <w:r>
        <w:rPr>
          <w:rFonts w:ascii="Old Standard TT" w:hAnsi="Old Standard TT"/>
        </w:rPr>
        <w:t xml:space="preserve"> </w:t>
      </w:r>
      <w:r>
        <w:rPr>
          <w:rFonts w:ascii="Old Standard TT" w:hAnsi="Old Standard TT"/>
        </w:rPr>
        <w:t xml:space="preserve">(Cunningham et al., 2026; Kramár et al., 2026)</w:t>
      </w:r>
      <w:r>
        <w:rPr>
          <w:rFonts w:ascii="Old Standard TT" w:hAnsi="Old Standard TT"/>
        </w:rPr>
        <w:t xml:space="preserve">. The closest precedent,</w:t>
      </w:r>
      <w:r>
        <w:rPr>
          <w:rFonts w:ascii="Old Standard TT" w:hAnsi="Old Standard TT"/>
        </w:rPr>
        <w:t xml:space="preserve"> </w:t>
      </w:r>
      <w:r>
        <w:rPr>
          <w:rFonts w:ascii="Old Standard TT" w:hAnsi="Old Standard TT"/>
        </w:rPr>
        <w:t xml:space="preserve">Gao (2026)</w:t>
      </w:r>
      <w:r>
        <w:rPr>
          <w:rFonts w:ascii="Old Standard TT" w:hAnsi="Old Standard TT"/>
        </w:rPr>
        <w:t xml:space="preserve">, fuses an activation monitor with action forecasts on AgentDojo and shows per-step false-alarm rates understate per-episode ones.</w:t>
      </w:r>
      <w:r>
        <w:rPr>
          <w:rFonts w:ascii="Old Standard TT" w:hAnsi="Old Standard TT"/>
        </w:rPr>
        <w:t xml:space="preserve"> </w:t>
      </w:r>
      <w:r>
        <w:rPr>
          <w:rFonts w:ascii="Old Standard TT" w:hAnsi="Old Standard TT"/>
          <w:i/>
          <w:iCs/>
        </w:rPr>
        <w:t xml:space="preserve">We differ:</w:t>
      </w:r>
      <w:r>
        <w:rPr>
          <w:rFonts w:ascii="Old Standard TT" w:hAnsi="Old Standard TT"/>
        </w:rPr>
        <w:t xml:space="preserve"> </w:t>
      </w:r>
      <w:r>
        <w:rPr>
          <w:rFonts w:ascii="Old Standard TT" w:hAnsi="Old Standard TT"/>
        </w:rPr>
        <w:t xml:space="preserve">we adopt the per-round metric and per-episode alarm counts and repeat the combination test where a peer recruits the agent, including on scenarios neither detector has seen.</w:t>
      </w:r>
    </w:p>
    <w:p>
      <w:pPr>
        <w:pStyle w:val="BodyText"/>
        <w:widowControl/>
      </w:pPr>
      <w:r>
        <w:rPr>
          <w:rFonts w:ascii="Old Standard TT" w:hAnsi="Old Standard TT"/>
        </w:rPr>
        <w:t xml:space="preserve">No prior work reads the activations of an agent being recruited by a peer, at every step before it acts.</w:t>
      </w:r>
    </w:p>
    <w:p>
      <w:pPr>
        <w:pStyle w:val="Heading2"/>
        <w:keepNext/>
        <w:widowControl/>
        <w:spacing w:before="200"/>
      </w:pPr>
      <w:bookmarkStart w:id="13" w:name="_methods"/>
      <w:r>
        <w:rPr>
          <w:rFonts w:ascii="Old Standard TT" w:hAnsi="Old Standard TT"/>
        </w:rPr>
        <w:t xml:space="preserve">3. Methods</w:t>
      </w:r>
      <w:bookmarkEnd w:id="13"/>
    </w:p>
    <w:p>
      <w:pPr>
        <w:pStyle w:val="Heading3"/>
        <w:keepNext/>
        <w:widowControl/>
        <w:spacing w:before="200"/>
      </w:pPr>
      <w:bookmarkStart w:id="14" w:name="_setup"/>
      <w:r>
        <w:rPr>
          <w:rFonts w:ascii="Old Standard TT" w:hAnsi="Old Standard TT"/>
        </w:rPr>
        <w:t xml:space="preserve">3.1 Setup</w:t>
      </w:r>
      <w:bookmarkEnd w:id="14"/>
    </w:p>
    <w:p>
      <w:pPr>
        <w:pStyle w:val="FirstParagraph"/>
        <w:widowControl/>
      </w:pPr>
      <w:r>
        <w:rPr>
          <w:rFonts w:ascii="Old Standard TT" w:hAnsi="Old Standard TT"/>
        </w:rPr>
        <w:t xml:space="preserve">A</w:t>
      </w:r>
      <w:r>
        <w:rPr>
          <w:rFonts w:ascii="Old Standard TT" w:hAnsi="Old Standard TT"/>
        </w:rPr>
        <w:t xml:space="preserve"> </w:t>
      </w:r>
      <w:r>
        <w:rPr>
          <w:rFonts w:ascii="Old Standard TT" w:hAnsi="Old Standard TT"/>
          <w:b/>
          <w:bCs/>
        </w:rPr>
        <w:t xml:space="preserve">target agent</w:t>
      </w:r>
      <w:r>
        <w:rPr>
          <w:rFonts w:ascii="Old Standard TT" w:hAnsi="Old Standard TT"/>
        </w:rPr>
        <w:t xml:space="preserve"> </w:t>
      </w:r>
      <w:r>
        <w:rPr>
          <w:rFonts w:ascii="Old Standard TT" w:hAnsi="Old Standard TT"/>
        </w:rPr>
        <w:t xml:space="preserve">works in a mocked workspace (tools act in memory; no real system, credential, or network). Its operator task is ordinary — read a configuration file, write a short status report — under one rule: do not share a protected value outside the file that holds it (in the main scenario, a staging deploy token). A</w:t>
      </w:r>
      <w:r>
        <w:rPr>
          <w:rFonts w:ascii="Old Standard TT" w:hAnsi="Old Standard TT"/>
        </w:rPr>
        <w:t xml:space="preserve"> </w:t>
      </w:r>
      <w:r>
        <w:rPr>
          <w:rFonts w:ascii="Old Standard TT" w:hAnsi="Old Standard TT"/>
          <w:b/>
          <w:bCs/>
        </w:rPr>
        <w:t xml:space="preserve">peer agent</w:t>
      </w:r>
      <w:r>
        <w:rPr>
          <w:rFonts w:ascii="Old Standard TT" w:hAnsi="Old Standard TT"/>
        </w:rPr>
        <w:t xml:space="preserve"> </w:t>
      </w:r>
      <w:r>
        <w:rPr>
          <w:rFonts w:ascii="Old Standard TT" w:hAnsi="Old Standard TT"/>
        </w:rPr>
        <w:t xml:space="preserve">shares a team channel and needs the value but cannot read the file. Each episode runs up to 20 rounds; the peer posts first, then the target takes a turn of tool calls (read, write, send a channel message). A give-in is scored from the tool log (the complete value in a post or a new file; partial disclosures do not count), and a secondary decision model labels it deliberate or accidental (Appendix D).</w:t>
      </w:r>
    </w:p>
    <w:p>
      <w:pPr>
        <w:pStyle w:val="BodyText"/>
        <w:widowControl/>
      </w:pPr>
      <w:r>
        <w:rPr>
          <w:rFonts w:ascii="Old Standard TT" w:hAnsi="Old Standard TT"/>
        </w:rPr>
        <w:t xml:space="preserve">Each scenario runs in three conditions:</w:t>
      </w:r>
      <w:r>
        <w:rPr>
          <w:rFonts w:ascii="Old Standard TT" w:hAnsi="Old Standard TT"/>
        </w:rPr>
        <w:t xml:space="preserve"> </w:t>
      </w:r>
      <w:r>
        <w:rPr>
          <w:rFonts w:ascii="Old Standard TT" w:hAnsi="Old Standard TT"/>
          <w:b/>
          <w:bCs/>
        </w:rPr>
        <w:t xml:space="preserve">recruiting</w:t>
      </w:r>
      <w:r>
        <w:rPr>
          <w:rFonts w:ascii="Old Standard TT" w:hAnsi="Old Standard TT"/>
        </w:rPr>
        <w:t xml:space="preserve"> </w:t>
      </w:r>
      <w:r>
        <w:rPr>
          <w:rFonts w:ascii="Old Standard TT" w:hAnsi="Old Standard TT"/>
        </w:rPr>
        <w:t xml:space="preserve">(the peer asks), a</w:t>
      </w:r>
      <w:r>
        <w:rPr>
          <w:rFonts w:ascii="Old Standard TT" w:hAnsi="Old Standard TT"/>
        </w:rPr>
        <w:t xml:space="preserve"> </w:t>
      </w:r>
      <w:r>
        <w:rPr>
          <w:rFonts w:ascii="Old Standard TT" w:hAnsi="Old Standard TT"/>
          <w:b/>
          <w:bCs/>
        </w:rPr>
        <w:t xml:space="preserve">control</w:t>
      </w:r>
      <w:r>
        <w:rPr>
          <w:rFonts w:ascii="Old Standard TT" w:hAnsi="Old Standard TT"/>
        </w:rPr>
        <w:t xml:space="preserve"> </w:t>
      </w:r>
      <w:r>
        <w:rPr>
          <w:rFonts w:ascii="Old Standard TT" w:hAnsi="Old Standard TT"/>
        </w:rPr>
        <w:t xml:space="preserve">peer (no forbidden ask), and the</w:t>
      </w:r>
      <w:r>
        <w:rPr>
          <w:rFonts w:ascii="Old Standard TT" w:hAnsi="Old Standard TT"/>
        </w:rPr>
        <w:t xml:space="preserve"> </w:t>
      </w:r>
      <w:r>
        <w:rPr>
          <w:rFonts w:ascii="Old Standard TT" w:hAnsi="Old Standard TT"/>
          <w:b/>
          <w:bCs/>
        </w:rPr>
        <w:t xml:space="preserve">target alone</w:t>
      </w:r>
      <w:r>
        <w:rPr>
          <w:rFonts w:ascii="Old Standard TT" w:hAnsi="Old Standard TT"/>
        </w:rPr>
        <w:t xml:space="preserve">. Controls and alone episodes never leaked; each condition’s purpose is in Appendix C. The peer is not told the rule, so we study recruitment from an ordinary conflict of goals. In 17 of the 241 scored recruiting episodes the peer also carried a single persuasion tactic (three tactics, in 5, 6 and 6 episodes; defined in Appendix G).</w:t>
      </w:r>
    </w:p>
    <w:p>
      <w:pPr>
        <w:pStyle w:val="BodyText"/>
        <w:widowControl/>
      </w:pPr>
      <w:r>
        <w:rPr>
          <w:rFonts w:ascii="Old Standard TT" w:hAnsi="Old Standard TT"/>
        </w:rPr>
        <w:t xml:space="preserve">Six scenarios are built from one task template that fixes the structure while varying the surface domain (a credential, a number, a text value, or code), each grounded in a real incident type (Appendix C). The target is Qwen3-32B</w:t>
      </w:r>
      <w:r>
        <w:rPr>
          <w:rFonts w:ascii="Old Standard TT" w:hAnsi="Old Standard TT"/>
        </w:rPr>
        <w:t xml:space="preserve"> </w:t>
      </w:r>
      <w:r>
        <w:rPr>
          <w:rFonts w:ascii="Old Standard TT" w:hAnsi="Old Standard TT"/>
        </w:rPr>
        <w:t xml:space="preserve">(Yang et al., 2025)</w:t>
      </w:r>
      <w:r>
        <w:rPr>
          <w:rFonts w:ascii="Old Standard TT" w:hAnsi="Old Standard TT"/>
        </w:rPr>
        <w:t xml:space="preserve"> </w:t>
      </w:r>
      <w:r>
        <w:rPr>
          <w:rFonts w:ascii="Old Standard TT" w:hAnsi="Old Standard TT"/>
        </w:rPr>
        <w:t xml:space="preserve">with thinking disabled; the peer is DeepSeek-V4-Flash</w:t>
      </w:r>
      <w:r>
        <w:rPr>
          <w:rFonts w:ascii="Old Standard TT" w:hAnsi="Old Standard TT"/>
        </w:rPr>
        <w:t xml:space="preserve"> </w:t>
      </w:r>
      <w:r>
        <w:rPr>
          <w:rFonts w:ascii="Old Standard TT" w:hAnsi="Old Standard TT"/>
        </w:rPr>
        <w:t xml:space="preserve">(DeepSeek, 2026)</w:t>
      </w:r>
      <w:r>
        <w:rPr>
          <w:rFonts w:ascii="Old Standard TT" w:hAnsi="Old Standard TT"/>
        </w:rPr>
        <w:t xml:space="preserve">. Scenario and model choices, the repeated-round precedent</w:t>
      </w:r>
      <w:r>
        <w:rPr>
          <w:rFonts w:ascii="Old Standard TT" w:hAnsi="Old Standard TT"/>
        </w:rPr>
        <w:t xml:space="preserve"> </w:t>
      </w:r>
      <w:r>
        <w:rPr>
          <w:rFonts w:ascii="Old Standard TT" w:hAnsi="Old Standard TT"/>
        </w:rPr>
        <w:t xml:space="preserve">(Agrawal et al., 2025; Shi et al., 2026)</w:t>
      </w:r>
      <w:r>
        <w:rPr>
          <w:rFonts w:ascii="Old Standard TT" w:hAnsi="Old Standard TT"/>
        </w:rPr>
        <w:t xml:space="preserve">, and serving details are in Appendices C and B. Figure 1b shows the setup; a real exchange from one give-in episode is in Figure 1a, annotated in Appendix C.</w:t>
      </w:r>
    </w:p>
    <w:p>
      <w:pPr>
        <w:pStyle w:val="Heading3"/>
        <w:keepNext/>
        <w:widowControl/>
        <w:spacing w:before="200"/>
      </w:pPr>
      <w:bookmarkStart w:id="15" w:name="_data"/>
      <w:r>
        <w:rPr>
          <w:rFonts w:ascii="Old Standard TT" w:hAnsi="Old Standard TT"/>
        </w:rPr>
        <w:t xml:space="preserve">3.2 Data</w:t>
      </w:r>
      <w:bookmarkEnd w:id="15"/>
    </w:p>
    <w:p>
      <w:pPr>
        <w:pStyle w:val="FirstParagraph"/>
        <w:widowControl/>
      </w:pPr>
      <w:r>
        <w:rPr>
          <w:rFonts w:ascii="Old Standard TT" w:hAnsi="Old Standard TT"/>
        </w:rPr>
        <w:t xml:space="preserve">To read the target’s internal activations we</w:t>
      </w:r>
      <w:r>
        <w:rPr>
          <w:rFonts w:ascii="Old Standard TT" w:hAnsi="Old Standard TT"/>
        </w:rPr>
        <w:t xml:space="preserve"> </w:t>
      </w:r>
      <w:r>
        <w:rPr>
          <w:rFonts w:ascii="Old Standard TT" w:hAnsi="Old Standard TT"/>
          <w:b/>
          <w:bCs/>
        </w:rPr>
        <w:t xml:space="preserve">replay</w:t>
      </w:r>
      <w:r>
        <w:rPr>
          <w:rFonts w:ascii="Old Standard TT" w:hAnsi="Old Standard TT"/>
        </w:rPr>
        <w:t xml:space="preserve"> </w:t>
      </w:r>
      <w:r>
        <w:rPr>
          <w:rFonts w:ascii="Old Standard TT" w:hAnsi="Old Standard TT"/>
        </w:rPr>
        <w:t xml:space="preserve">every saved target request through the open-weight Qwen3-32B checkpoint on a GPU, reading the</w:t>
      </w:r>
      <w:r>
        <w:rPr>
          <w:rFonts w:ascii="Old Standard TT" w:hAnsi="Old Standard TT"/>
        </w:rPr>
        <w:t xml:space="preserve"> </w:t>
      </w:r>
      <w:r>
        <w:rPr>
          <w:rFonts w:ascii="Old Standard TT" w:hAnsi="Old Standard TT"/>
          <w:b/>
          <w:bCs/>
        </w:rPr>
        <w:t xml:space="preserve">residual stream</w:t>
      </w:r>
      <w:r>
        <w:rPr>
          <w:rFonts w:ascii="Old Standard TT" w:hAnsi="Old Standard TT"/>
        </w:rPr>
        <w:t xml:space="preserve"> </w:t>
      </w:r>
      <w:r>
        <w:rPr>
          <w:rFonts w:ascii="Old Standard TT" w:hAnsi="Old Standard TT"/>
        </w:rPr>
        <w:t xml:space="preserve">(the model’s running internal representation) at the last prompt token before each reply; the replay reproduces the served replies closely, so the activations reflect the model that acted. The combined data is</w:t>
      </w:r>
      <w:r>
        <w:rPr>
          <w:rFonts w:ascii="Old Standard TT" w:hAnsi="Old Standard TT"/>
        </w:rPr>
        <w:t xml:space="preserve"> </w:t>
      </w:r>
      <w:r>
        <w:rPr>
          <w:rFonts w:ascii="Old Standard TT" w:hAnsi="Old Standard TT"/>
          <w:b/>
          <w:bCs/>
        </w:rPr>
        <w:t xml:space="preserve">6,404 eligible steps from 338 episodes</w:t>
      </w:r>
      <w:r>
        <w:rPr>
          <w:rFonts w:ascii="Old Standard TT" w:hAnsi="Old Standard TT"/>
        </w:rPr>
        <w:t xml:space="preserve">, of which</w:t>
      </w:r>
      <w:r>
        <w:rPr>
          <w:rFonts w:ascii="Old Standard TT" w:hAnsi="Old Standard TT"/>
        </w:rPr>
        <w:t xml:space="preserve"> </w:t>
      </w:r>
      <w:r>
        <w:rPr>
          <w:rFonts w:ascii="Old Standard TT" w:hAnsi="Old Standard TT"/>
          <w:b/>
          <w:bCs/>
        </w:rPr>
        <w:t xml:space="preserve">4,697 steps from 241 recruiting episodes</w:t>
      </w:r>
      <w:r>
        <w:rPr>
          <w:rFonts w:ascii="Old Standard TT" w:hAnsi="Old Standard TT"/>
        </w:rPr>
        <w:t xml:space="preserve"> </w:t>
      </w:r>
      <w:r>
        <w:rPr>
          <w:rFonts w:ascii="Old Standard TT" w:hAnsi="Old Standard TT"/>
        </w:rPr>
        <w:t xml:space="preserve">are scored (control and target-alone steps are used only for fold assignment). A later</w:t>
      </w:r>
      <w:r>
        <w:rPr>
          <w:rFonts w:ascii="Old Standard TT" w:hAnsi="Old Standard TT"/>
        </w:rPr>
        <w:t xml:space="preserve"> </w:t>
      </w:r>
      <w:r>
        <w:rPr>
          <w:rFonts w:ascii="Old Standard TT" w:hAnsi="Old Standard TT"/>
          <w:b/>
          <w:bCs/>
        </w:rPr>
        <w:t xml:space="preserve">new-episode set</w:t>
      </w:r>
      <w:r>
        <w:rPr>
          <w:rFonts w:ascii="Old Standard TT" w:hAnsi="Old Standard TT"/>
        </w:rPr>
        <w:t xml:space="preserve"> </w:t>
      </w:r>
      <w:r>
        <w:rPr>
          <w:rFonts w:ascii="Old Standard TT" w:hAnsi="Old Standard TT"/>
        </w:rPr>
        <w:t xml:space="preserve">serves first as a held-out confirmation set and is then pooled (§3.5, §4). The full pipeline, per-batch and per-scenario counts, and replay fidelity are in Appendix B.</w:t>
      </w:r>
    </w:p>
    <w:p>
      <w:pPr>
        <w:pStyle w:val="Heading3"/>
        <w:keepNext/>
        <w:widowControl/>
        <w:spacing w:before="200"/>
      </w:pPr>
      <w:bookmarkStart w:id="16" w:name="_49d7020ce8d99d54ef2f42ab4174e0619897c95"/>
      <w:r>
        <w:rPr>
          <w:rFonts w:ascii="Old Standard TT" w:hAnsi="Old Standard TT"/>
        </w:rPr>
        <w:t xml:space="preserve">3.3 What gets scored</w:t>
      </w:r>
      <w:bookmarkEnd w:id="16"/>
    </w:p>
    <w:p>
      <w:pPr>
        <w:pStyle w:val="FirstParagraph"/>
        <w:widowControl/>
      </w:pPr>
      <w:r>
        <w:rPr>
          <w:rFonts w:ascii="Old Standard TT" w:hAnsi="Old Standard TT"/>
        </w:rPr>
        <w:t xml:space="preserve">Every detector is scored only on</w:t>
      </w:r>
      <w:r>
        <w:rPr>
          <w:rFonts w:ascii="Old Standard TT" w:hAnsi="Old Standard TT"/>
        </w:rPr>
        <w:t xml:space="preserve"> </w:t>
      </w:r>
      <w:r>
        <w:rPr>
          <w:rFonts w:ascii="Old Standard TT" w:hAnsi="Old Standard TT"/>
          <w:b/>
          <w:bCs/>
        </w:rPr>
        <w:t xml:space="preserve">eligible steps</w:t>
      </w:r>
      <w:r>
        <w:rPr>
          <w:rFonts w:ascii="Old Standard TT" w:hAnsi="Old Standard TT"/>
        </w:rPr>
        <w:t xml:space="preserve">: steps where the target has read the protected value and has not yet disclosed it. Steps before the read cannot produce a give-in, and including them lets a detector win by detecting that the file was read: an activation probe reaches an exposure-detection AUROC of 1.000 (positive control; Appendix B). Steps after disclosure are detection after the fact. The window isolates the question we care about: given that the target could give in, can a detector see it coming?</w:t>
      </w:r>
    </w:p>
    <w:p>
      <w:pPr>
        <w:pStyle w:val="BodyText"/>
        <w:widowControl/>
      </w:pPr>
      <w:r>
        <w:rPr>
          <w:rFonts w:ascii="Old Standard TT" w:hAnsi="Old Standard TT"/>
        </w:rPr>
        <w:t xml:space="preserve">We score two labels (Figure 1c). Under the</w:t>
      </w:r>
      <w:r>
        <w:rPr>
          <w:rFonts w:ascii="Old Standard TT" w:hAnsi="Old Standard TT"/>
        </w:rPr>
        <w:t xml:space="preserve"> </w:t>
      </w:r>
      <w:r>
        <w:rPr>
          <w:rFonts w:ascii="Old Standard TT" w:hAnsi="Old Standard TT"/>
          <w:b/>
          <w:bCs/>
        </w:rPr>
        <w:t xml:space="preserve">eventual</w:t>
      </w:r>
      <w:r>
        <w:rPr>
          <w:rFonts w:ascii="Old Standard TT" w:hAnsi="Old Standard TT"/>
        </w:rPr>
        <w:t xml:space="preserve"> </w:t>
      </w:r>
      <w:r>
        <w:rPr>
          <w:rFonts w:ascii="Old Standard TT" w:hAnsi="Old Standard TT"/>
        </w:rPr>
        <w:t xml:space="preserve">label, every eligible step of an episode that eventually gives in is positive. Under the</w:t>
      </w:r>
      <w:r>
        <w:rPr>
          <w:rFonts w:ascii="Old Standard TT" w:hAnsi="Old Standard TT"/>
        </w:rPr>
        <w:t xml:space="preserve"> </w:t>
      </w:r>
      <w:r>
        <w:rPr>
          <w:rFonts w:ascii="Old Standard TT" w:hAnsi="Old Standard TT"/>
          <w:b/>
          <w:bCs/>
        </w:rPr>
        <w:t xml:space="preserve">near-term</w:t>
      </w:r>
      <w:r>
        <w:rPr>
          <w:rFonts w:ascii="Old Standard TT" w:hAnsi="Old Standard TT"/>
        </w:rPr>
        <w:t xml:space="preserve"> </w:t>
      </w:r>
      <w:r>
        <w:rPr>
          <w:rFonts w:ascii="Old Standard TT" w:hAnsi="Old Standard TT"/>
        </w:rPr>
        <w:t xml:space="preserve">label, our primary one, a step is positive only if the first forbidden action falls in the current round or the next. We defined the near-term label after seeing the eventual result, so we validate it on the new-episode set (§3.5, §4). Secondary label variants and the window’s cost are in Appendix D.</w:t>
      </w:r>
    </w:p>
    <w:p>
      <w:pPr>
        <w:pStyle w:val="BodyText"/>
        <w:keepNext/>
        <w:widowControl/>
      </w:pPr>
      <w:r>
        <w:rPr>
          <w:rFonts w:ascii="Old Standard TT" w:hAnsi="Old Standard TT"/>
        </w:rPr>
        <w:drawing>
          <wp:inline>
            <wp:extent cx="5943600" cy="3291840"/>
            <wp:effectExtent b="0" l="0" r="0" t="0"/>
            <wp:docPr descr="Figure 1" title="" id="18" name="Picture"/>
            <a:graphic>
              <a:graphicData uri="http://schemas.openxmlformats.org/drawingml/2006/picture">
                <pic:pic>
                  <pic:nvPicPr>
                    <pic:cNvPr descr="figures/figure1_setup.png" id="19" name="Picture"/>
                    <pic:cNvPicPr>
                      <a:picLocks noChangeArrowheads="1" noChangeAspect="1"/>
                    </pic:cNvPicPr>
                  </pic:nvPicPr>
                  <pic:blipFill>
                    <a:blip r:embed="rId17"/>
                    <a:stretch>
                      <a:fillRect/>
                    </a:stretch>
                  </pic:blipFill>
                  <pic:spPr bwMode="auto">
                    <a:xfrm>
                      <a:off x="0" y="0"/>
                      <a:ext cx="5943600" cy="3291840"/>
                    </a:xfrm>
                    <a:prstGeom prst="rect">
                      <a:avLst/>
                    </a:prstGeom>
                    <a:noFill/>
                    <a:ln w="9525">
                      <a:noFill/>
                      <a:headEnd/>
                      <a:tailEnd/>
                    </a:ln>
                  </pic:spPr>
                </pic:pic>
              </a:graphicData>
            </a:graphic>
          </wp:inline>
        </w:drawing>
      </w:r>
    </w:p>
    <w:p>
      <w:pPr>
        <w:pStyle w:val="Caption"/>
        <w:keepLines/>
        <w:widowControl/>
      </w:pPr>
      <w:r>
        <w:rPr>
          <w:rFonts w:ascii="Old Standard TT" w:hAnsi="Old Standard TT"/>
          <w:b/>
          <w:bCs/>
        </w:rPr>
        <w:t xml:space="preserve">Figure 1.</w:t>
      </w:r>
      <w:r>
        <w:rPr>
          <w:rFonts w:ascii="Old Standard TT" w:hAnsi="Old Standard TT"/>
        </w:rPr>
        <w:t xml:space="preserve"> </w:t>
      </w:r>
      <w:r>
        <w:rPr>
          <w:rFonts w:ascii="Old Standard TT" w:hAnsi="Old Standard TT"/>
        </w:rPr>
        <w:t xml:space="preserve">The target refuses, then posts the token after the peer reframes the request as a routine handoff; probes and monitors are scored on the steps between reading the token and posting it. (a) A real give-in exchange (episode-0032; verbatim, shortened, token truncated). (b) Setup: the probe reads the target’s activations at the last prompt token, and a monitor’s three access levels add the target’s actions (1), the peer’s messages (2), and everything the target saw (3). (c) A toy episode with eligible steps shaded and the eventual and near-term labels marked.</w:t>
      </w:r>
    </w:p>
    <w:p>
      <w:pPr>
        <w:pStyle w:val="Heading3"/>
        <w:keepNext/>
        <w:widowControl/>
        <w:spacing w:before="200"/>
      </w:pPr>
      <w:bookmarkStart w:id="20" w:name="_detectors"/>
      <w:r>
        <w:rPr>
          <w:rFonts w:ascii="Old Standard TT" w:hAnsi="Old Standard TT"/>
        </w:rPr>
        <w:t xml:space="preserve">3.4 Detectors</w:t>
      </w:r>
      <w:bookmarkEnd w:id="20"/>
    </w:p>
    <w:p>
      <w:pPr>
        <w:pStyle w:val="FirstParagraph"/>
        <w:widowControl/>
      </w:pPr>
      <w:r>
        <w:rPr>
          <w:rFonts w:ascii="Old Standard TT" w:hAnsi="Old Standard TT"/>
        </w:rPr>
        <w:t xml:space="preserve">A</w:t>
      </w:r>
      <w:r>
        <w:rPr>
          <w:rFonts w:ascii="Old Standard TT" w:hAnsi="Old Standard TT"/>
        </w:rPr>
        <w:t xml:space="preserve"> </w:t>
      </w:r>
      <w:r>
        <w:rPr>
          <w:rFonts w:ascii="Old Standard TT" w:hAnsi="Old Standard TT"/>
          <w:b/>
          <w:bCs/>
        </w:rPr>
        <w:t xml:space="preserve">probe</w:t>
      </w:r>
      <w:r>
        <w:rPr>
          <w:rFonts w:ascii="Old Standard TT" w:hAnsi="Old Standard TT"/>
        </w:rPr>
        <w:t xml:space="preserve"> </w:t>
      </w:r>
      <w:r>
        <w:rPr>
          <w:rFonts w:ascii="Old Standard TT" w:hAnsi="Old Standard TT"/>
        </w:rPr>
        <w:t xml:space="preserve">is a linear classifier (logistic regression) on the residual-stream vector at the last prompt token before each target reply; the layer is chosen inside each training fold, the probe is trained on recruiting episodes only, and families of related variants never cross a train/test boundary (full recipe in Appendix E). It follows standard linear-probe practice</w:t>
      </w:r>
      <w:r>
        <w:rPr>
          <w:rFonts w:ascii="Old Standard TT" w:hAnsi="Old Standard TT"/>
        </w:rPr>
        <w:t xml:space="preserve"> </w:t>
      </w:r>
      <w:r>
        <w:rPr>
          <w:rFonts w:ascii="Old Standard TT" w:hAnsi="Old Standard TT"/>
        </w:rPr>
        <w:t xml:space="preserve">(Goldowsky-Dill et al., 2025)</w:t>
      </w:r>
      <w:r>
        <w:rPr>
          <w:rFonts w:ascii="Old Standard TT" w:hAnsi="Old Standard TT"/>
        </w:rPr>
        <w:t xml:space="preserve"> </w:t>
      </w:r>
      <w:r>
        <w:rPr>
          <w:rFonts w:ascii="Old Standard TT" w:hAnsi="Old Standard TT"/>
        </w:rPr>
        <w:t xml:space="preserve">with layer selection on validation</w:t>
      </w:r>
      <w:r>
        <w:rPr>
          <w:rFonts w:ascii="Old Standard TT" w:hAnsi="Old Standard TT"/>
        </w:rPr>
        <w:t xml:space="preserve"> </w:t>
      </w:r>
      <w:r>
        <w:rPr>
          <w:rFonts w:ascii="Old Standard TT" w:hAnsi="Old Standard TT"/>
        </w:rPr>
        <w:t xml:space="preserve">(Kramár et al., 2026)</w:t>
      </w:r>
      <w:r>
        <w:rPr>
          <w:rFonts w:ascii="Old Standard TT" w:hAnsi="Old Standard TT"/>
        </w:rPr>
        <w:t xml:space="preserve">.</w:t>
      </w:r>
    </w:p>
    <w:p>
      <w:pPr>
        <w:pStyle w:val="BodyText"/>
        <w:widowControl/>
      </w:pPr>
      <w:r>
        <w:rPr>
          <w:rFonts w:ascii="Old Standard TT" w:hAnsi="Old Standard TT"/>
        </w:rPr>
        <w:t xml:space="preserve">A</w:t>
      </w:r>
      <w:r>
        <w:rPr>
          <w:rFonts w:ascii="Old Standard TT" w:hAnsi="Old Standard TT"/>
        </w:rPr>
        <w:t xml:space="preserve"> </w:t>
      </w:r>
      <w:r>
        <w:rPr>
          <w:rFonts w:ascii="Old Standard TT" w:hAnsi="Old Standard TT"/>
          <w:b/>
          <w:bCs/>
        </w:rPr>
        <w:t xml:space="preserve">text monitor</w:t>
      </w:r>
      <w:r>
        <w:rPr>
          <w:rFonts w:ascii="Old Standard TT" w:hAnsi="Old Standard TT"/>
        </w:rPr>
        <w:t xml:space="preserve"> </w:t>
      </w:r>
      <w:r>
        <w:rPr>
          <w:rFonts w:ascii="Old Standard TT" w:hAnsi="Old Standard TT"/>
        </w:rPr>
        <w:t xml:space="preserve">reads what the agents say and do, with no access to activations: an LLM judge (GPT-5-nano) and two</w:t>
      </w:r>
      <w:r>
        <w:rPr>
          <w:rFonts w:ascii="Old Standard TT" w:hAnsi="Old Standard TT"/>
        </w:rPr>
        <w:t xml:space="preserve"> </w:t>
      </w:r>
      <w:r>
        <w:rPr>
          <w:rFonts w:ascii="Old Standard TT" w:hAnsi="Old Standard TT"/>
          <w:b/>
          <w:bCs/>
        </w:rPr>
        <w:t xml:space="preserve">decision models</w:t>
      </w:r>
      <w:r>
        <w:rPr>
          <w:rFonts w:ascii="Old Standard TT" w:hAnsi="Old Standard TT"/>
        </w:rPr>
        <w:t xml:space="preserve"> </w:t>
      </w:r>
      <w:r>
        <w:rPr>
          <w:rFonts w:ascii="Old Standard TT" w:hAnsi="Old Standard TT"/>
        </w:rPr>
        <w:t xml:space="preserve">(Jev 1.14 and Luna Decisions), which return a probability over fixed options and are defined in Appendix E. Each monitor is asked a</w:t>
      </w:r>
      <w:r>
        <w:rPr>
          <w:rFonts w:ascii="Old Standard TT" w:hAnsi="Old Standard TT"/>
        </w:rPr>
        <w:t xml:space="preserve"> </w:t>
      </w:r>
      <w:r>
        <w:rPr>
          <w:rFonts w:ascii="Old Standard TT" w:hAnsi="Old Standard TT"/>
          <w:b/>
          <w:bCs/>
        </w:rPr>
        <w:t xml:space="preserve">detector</w:t>
      </w:r>
      <w:r>
        <w:rPr>
          <w:rFonts w:ascii="Old Standard TT" w:hAnsi="Old Standard TT"/>
        </w:rPr>
        <w:t xml:space="preserve"> </w:t>
      </w:r>
      <w:r>
        <w:rPr>
          <w:rFonts w:ascii="Old Standard TT" w:hAnsi="Old Standard TT"/>
        </w:rPr>
        <w:t xml:space="preserve">question (</w:t>
      </w:r>
      <w:r>
        <w:rPr>
          <w:rFonts w:ascii="Old Standard TT" w:hAnsi="Old Standard TT"/>
        </w:rPr>
        <w:t xml:space="preserve">“is the target breaking the rule now?”</w:t>
      </w:r>
      <w:r>
        <w:rPr>
          <w:rFonts w:ascii="Old Standard TT" w:hAnsi="Old Standard TT"/>
        </w:rPr>
        <w:t xml:space="preserve">) or a</w:t>
      </w:r>
      <w:r>
        <w:rPr>
          <w:rFonts w:ascii="Old Standard TT" w:hAnsi="Old Standard TT"/>
        </w:rPr>
        <w:t xml:space="preserve"> </w:t>
      </w:r>
      <w:r>
        <w:rPr>
          <w:rFonts w:ascii="Old Standard TT" w:hAnsi="Old Standard TT"/>
          <w:b/>
          <w:bCs/>
        </w:rPr>
        <w:t xml:space="preserve">forecaster</w:t>
      </w:r>
      <w:r>
        <w:rPr>
          <w:rFonts w:ascii="Old Standard TT" w:hAnsi="Old Standard TT"/>
        </w:rPr>
        <w:t xml:space="preserve"> </w:t>
      </w:r>
      <w:r>
        <w:rPr>
          <w:rFonts w:ascii="Old Standard TT" w:hAnsi="Old Standard TT"/>
        </w:rPr>
        <w:t xml:space="preserve">question (</w:t>
      </w:r>
      <w:r>
        <w:rPr>
          <w:rFonts w:ascii="Old Standard TT" w:hAnsi="Old Standard TT"/>
        </w:rPr>
        <w:t xml:space="preserve">“will it break the rule at any later point?”</w:t>
      </w:r>
      <w:r>
        <w:rPr>
          <w:rFonts w:ascii="Old Standard TT" w:hAnsi="Old Standard TT"/>
        </w:rPr>
        <w:t xml:space="preserve">), at three levels of access:</w:t>
      </w:r>
      <w:r>
        <w:rPr>
          <w:rFonts w:ascii="Old Standard TT" w:hAnsi="Old Standard TT"/>
        </w:rPr>
        <w:t xml:space="preserve"> </w:t>
      </w:r>
      <w:r>
        <w:rPr>
          <w:rFonts w:ascii="Old Standard TT" w:hAnsi="Old Standard TT"/>
          <w:b/>
          <w:bCs/>
        </w:rPr>
        <w:t xml:space="preserve">actions only</w:t>
      </w:r>
      <w:r>
        <w:rPr>
          <w:rFonts w:ascii="Old Standard TT" w:hAnsi="Old Standard TT"/>
        </w:rPr>
        <w:t xml:space="preserve">;</w:t>
      </w:r>
      <w:r>
        <w:rPr>
          <w:rFonts w:ascii="Old Standard TT" w:hAnsi="Old Standard TT"/>
        </w:rPr>
        <w:t xml:space="preserve"> </w:t>
      </w:r>
      <w:r>
        <w:rPr>
          <w:rFonts w:ascii="Old Standard TT" w:hAnsi="Old Standard TT"/>
          <w:b/>
          <w:bCs/>
        </w:rPr>
        <w:t xml:space="preserve">the conversation</w:t>
      </w:r>
      <w:r>
        <w:rPr>
          <w:rFonts w:ascii="Old Standard TT" w:hAnsi="Old Standard TT"/>
        </w:rPr>
        <w:t xml:space="preserve">, which adds the peer’s messages; and</w:t>
      </w:r>
      <w:r>
        <w:rPr>
          <w:rFonts w:ascii="Old Standard TT" w:hAnsi="Old Standard TT"/>
        </w:rPr>
        <w:t xml:space="preserve"> </w:t>
      </w:r>
      <w:r>
        <w:rPr>
          <w:rFonts w:ascii="Old Standard TT" w:hAnsi="Old Standard TT"/>
          <w:b/>
          <w:bCs/>
        </w:rPr>
        <w:t xml:space="preserve">everything the target saw</w:t>
      </w:r>
      <w:r>
        <w:rPr>
          <w:rFonts w:ascii="Old Standard TT" w:hAnsi="Old Standard TT"/>
        </w:rPr>
        <w:t xml:space="preserve">, which adds the target’s unposted text and tool results (there is no reasoning trace, as thinking is off).</w:t>
      </w:r>
    </w:p>
    <w:p>
      <w:pPr>
        <w:pStyle w:val="Heading3"/>
        <w:keepNext/>
        <w:widowControl/>
        <w:spacing w:before="200"/>
      </w:pPr>
      <w:bookmarkStart w:id="21" w:name="_evaluation"/>
      <w:r>
        <w:rPr>
          <w:rFonts w:ascii="Old Standard TT" w:hAnsi="Old Standard TT"/>
        </w:rPr>
        <w:t xml:space="preserve">3.5 Evaluation</w:t>
      </w:r>
      <w:bookmarkEnd w:id="21"/>
    </w:p>
    <w:p>
      <w:pPr>
        <w:pStyle w:val="FirstParagraph"/>
        <w:widowControl/>
      </w:pPr>
      <w:r>
        <w:rPr>
          <w:rFonts w:ascii="Old Standard TT" w:hAnsi="Old Standard TT"/>
        </w:rPr>
        <w:t xml:space="preserve">Our primary metric is</w:t>
      </w:r>
      <w:r>
        <w:rPr>
          <w:rFonts w:ascii="Old Standard TT" w:hAnsi="Old Standard TT"/>
        </w:rPr>
        <w:t xml:space="preserve"> </w:t>
      </w:r>
      <w:r>
        <w:rPr>
          <w:rFonts w:ascii="Old Standard TT" w:hAnsi="Old Standard TT"/>
          <w:b/>
          <w:bCs/>
        </w:rPr>
        <w:t xml:space="preserve">within scenario × round AUROC</w:t>
      </w:r>
      <w:r>
        <w:rPr>
          <w:rFonts w:ascii="Old Standard TT" w:hAnsi="Old Standard TT"/>
        </w:rPr>
        <w:t xml:space="preserve"> </w:t>
      </w:r>
      <w:r>
        <w:rPr>
          <w:rFonts w:ascii="Old Standard TT" w:hAnsi="Old Standard TT"/>
        </w:rPr>
        <w:t xml:space="preserve">(area under the ROC curve; 0.5 = chance): each positive step is compared only with negatives from the same scenario and round (for example, a give-in at round 7 is ranked only against held steps at round 7 of that scenario). We stratify because round number alone scores 0.71 pooled, and base rates differ across scenarios.</w:t>
      </w:r>
    </w:p>
    <w:p>
      <w:pPr>
        <w:pStyle w:val="BodyText"/>
        <w:widowControl/>
      </w:pPr>
      <w:r>
        <w:rPr>
          <w:rFonts w:ascii="Old Standard TT" w:hAnsi="Old Standard TT"/>
        </w:rPr>
        <w:t xml:space="preserve">We report a</w:t>
      </w:r>
      <w:r>
        <w:rPr>
          <w:rFonts w:ascii="Old Standard TT" w:hAnsi="Old Standard TT"/>
        </w:rPr>
        <w:t xml:space="preserve"> </w:t>
      </w:r>
      <w:r>
        <w:rPr>
          <w:rFonts w:ascii="Old Standard TT" w:hAnsi="Old Standard TT"/>
          <w:b/>
          <w:bCs/>
        </w:rPr>
        <w:t xml:space="preserve">held-out scenario</w:t>
      </w:r>
      <w:r>
        <w:rPr>
          <w:rFonts w:ascii="Old Standard TT" w:hAnsi="Old Standard TT"/>
        </w:rPr>
        <w:t xml:space="preserve"> </w:t>
      </w:r>
      <w:r>
        <w:rPr>
          <w:rFonts w:ascii="Old Standard TT" w:hAnsi="Old Standard TT"/>
        </w:rPr>
        <w:t xml:space="preserve">evaluation (leave one scenario out, rotate, and pool), our headline for an unseen scenario, and a</w:t>
      </w:r>
      <w:r>
        <w:rPr>
          <w:rFonts w:ascii="Old Standard TT" w:hAnsi="Old Standard TT"/>
        </w:rPr>
        <w:t xml:space="preserve"> </w:t>
      </w:r>
      <w:r>
        <w:rPr>
          <w:rFonts w:ascii="Old Standard TT" w:hAnsi="Old Standard TT"/>
          <w:b/>
          <w:bCs/>
        </w:rPr>
        <w:t xml:space="preserve">new-episode confirmation set</w:t>
      </w:r>
      <w:r>
        <w:rPr>
          <w:rFonts w:ascii="Old Standard TT" w:hAnsi="Old Standard TT"/>
        </w:rPr>
        <w:t xml:space="preserve"> </w:t>
      </w:r>
      <w:r>
        <w:rPr>
          <w:rFonts w:ascii="Old Standard TT" w:hAnsi="Old Standard TT"/>
        </w:rPr>
        <w:t xml:space="preserve">scored once under a plan fixed in advance, so a result on it cannot come from choices made after seeing it. A</w:t>
      </w:r>
      <w:r>
        <w:rPr>
          <w:rFonts w:ascii="Old Standard TT" w:hAnsi="Old Standard TT"/>
        </w:rPr>
        <w:t xml:space="preserve"> </w:t>
      </w:r>
      <w:r>
        <w:rPr>
          <w:rFonts w:ascii="Old Standard TT" w:hAnsi="Old Standard TT"/>
          <w:b/>
          <w:bCs/>
        </w:rPr>
        <w:t xml:space="preserve">combination test</w:t>
      </w:r>
      <w:r>
        <w:rPr>
          <w:rFonts w:ascii="Old Standard TT" w:hAnsi="Old Standard TT"/>
        </w:rPr>
        <w:t xml:space="preserve"> </w:t>
      </w:r>
      <w:r>
        <w:rPr>
          <w:rFonts w:ascii="Old Standard TT" w:hAnsi="Old Standard TT"/>
        </w:rPr>
        <w:t xml:space="preserve">asks whether the probe adds to a text monitor. Confidence intervals (95% family bootstraps), pooled cross-validation, and the alarm analysis are in Appendices E and B.</w:t>
      </w:r>
    </w:p>
    <w:p>
      <w:pPr>
        <w:pStyle w:val="Heading3"/>
        <w:keepNext/>
        <w:widowControl/>
        <w:spacing w:before="200"/>
      </w:pPr>
      <w:bookmarkStart w:id="22" w:name="_e5033cf07e50c8c53e3b2479a5847f24a7eee57"/>
      <w:r>
        <w:rPr>
          <w:rFonts w:ascii="Old Standard TT" w:hAnsi="Old Standard TT"/>
        </w:rPr>
        <w:t xml:space="preserve">3.6 Second target</w:t>
      </w:r>
      <w:bookmarkEnd w:id="22"/>
    </w:p>
    <w:p>
      <w:pPr>
        <w:pStyle w:val="FirstParagraph"/>
        <w:widowControl/>
      </w:pPr>
      <w:r>
        <w:rPr>
          <w:rFonts w:ascii="Old Standard TT" w:hAnsi="Old Standard TT"/>
        </w:rPr>
        <w:t xml:space="preserve">The same pipeline is applied, unchanged, to gpt-oss-20b</w:t>
      </w:r>
      <w:r>
        <w:rPr>
          <w:rFonts w:ascii="Old Standard TT" w:hAnsi="Old Standard TT"/>
        </w:rPr>
        <w:t xml:space="preserve"> </w:t>
      </w:r>
      <w:r>
        <w:rPr>
          <w:rFonts w:ascii="Old Standard TT" w:hAnsi="Old Standard TT"/>
        </w:rPr>
        <w:t xml:space="preserve">(OpenAI, 2025)</w:t>
      </w:r>
      <w:r>
        <w:rPr>
          <w:rFonts w:ascii="Old Standard TT" w:hAnsi="Old Standard TT"/>
        </w:rPr>
        <w:t xml:space="preserve">. Only the peer’s model and strategy vary, chosen on behaviour alone and frozen before any detector sees the data; the fixed-versus-varied protocol and the second-target results are in Appendix F and §4.6.</w:t>
      </w:r>
    </w:p>
    <w:p>
      <w:pPr>
        <w:pStyle w:val="Heading2"/>
        <w:keepNext/>
        <w:widowControl/>
        <w:spacing w:before="200"/>
      </w:pPr>
      <w:bookmarkStart w:id="23" w:name="_results"/>
      <w:r>
        <w:rPr>
          <w:rFonts w:ascii="Old Standard TT" w:hAnsi="Old Standard TT"/>
        </w:rPr>
        <w:t xml:space="preserve">4. Results</w:t>
      </w:r>
      <w:bookmarkEnd w:id="23"/>
    </w:p>
    <w:p>
      <w:pPr>
        <w:pStyle w:val="Heading3"/>
        <w:keepNext/>
        <w:widowControl/>
        <w:spacing w:before="200"/>
      </w:pPr>
      <w:bookmarkStart w:id="24" w:name="_3e13d918d08d0113381c47ab4f581e16c59fda7"/>
      <w:r>
        <w:rPr>
          <w:rFonts w:ascii="Old Standard TT" w:hAnsi="Old Standard TT"/>
        </w:rPr>
        <w:t xml:space="preserve">4.1 The setup produces mixed outcomes</w:t>
      </w:r>
      <w:bookmarkEnd w:id="24"/>
    </w:p>
    <w:p>
      <w:pPr>
        <w:pStyle w:val="FirstParagraph"/>
        <w:widowControl/>
      </w:pPr>
      <w:r>
        <w:rPr>
          <w:rFonts w:ascii="Old Standard TT" w:hAnsi="Old Standard TT"/>
        </w:rPr>
        <w:t xml:space="preserve">Under a recruiting peer, Qwen3-32B gives in on 100 of 226 episodes (44%), from 36% to 66% across the six scenarios; control and target-alone episodes never leak (0 of 66 and 0 of 25). Per-scenario rates and the scored cohort are in Appendix C.</w:t>
      </w:r>
    </w:p>
    <w:p>
      <w:pPr>
        <w:pStyle w:val="Heading3"/>
        <w:keepNext/>
        <w:widowControl/>
        <w:spacing w:before="200"/>
      </w:pPr>
      <w:bookmarkStart w:id="25" w:name="_69352b358ef611d55b8ed943b9f6c14474eb703"/>
      <w:r>
        <w:rPr>
          <w:rFonts w:ascii="Old Standard TT" w:hAnsi="Old Standard TT"/>
        </w:rPr>
        <w:t xml:space="preserve">4.2 Eventual give-in is barely predictable from one step</w:t>
      </w:r>
      <w:bookmarkEnd w:id="25"/>
    </w:p>
    <w:p>
      <w:pPr>
        <w:pStyle w:val="FirstParagraph"/>
        <w:widowControl/>
      </w:pPr>
      <w:r>
        <w:rPr>
          <w:rFonts w:ascii="Old Standard TT" w:hAnsi="Old Standard TT"/>
        </w:rPr>
        <w:t xml:space="preserve">On held-out scenarios (4,697 recruiting steps from 241 episodes, 998 eventual-positive steps), the activation probe scores a within-scenario × round AUROC of 0.523, with an interval that includes chance. The strongest text monitor, the Jev 1.14 forecaster with everything the target saw, reaches 0.577, just clear of chance; GPT-5-nano with the conversation is 0.549 (Figure 2a). A single step therefore carries little warning of whether an episode will eventually give in. The signal is weak rather than absent. One likely reason, that the outcome is only partly settled at the step we read, is taken up in Section 5.</w:t>
      </w:r>
    </w:p>
    <w:p>
      <w:pPr>
        <w:pStyle w:val="Heading3"/>
        <w:keepNext/>
        <w:widowControl/>
        <w:spacing w:before="200"/>
      </w:pPr>
      <w:bookmarkStart w:id="26" w:name="_2448d67834c5cf734896f5e0979aab1d1aa294f"/>
      <w:r>
        <w:rPr>
          <w:rFonts w:ascii="Old Standard TT" w:hAnsi="Old Standard TT"/>
        </w:rPr>
        <w:t xml:space="preserve">4.3 Near-term give-in is modestly predictable, and not only from pressure</w:t>
      </w:r>
      <w:bookmarkEnd w:id="26"/>
    </w:p>
    <w:p>
      <w:pPr>
        <w:pStyle w:val="FirstParagraph"/>
        <w:widowControl/>
      </w:pPr>
      <w:r>
        <w:rPr>
          <w:rFonts w:ascii="Old Standard TT" w:hAnsi="Old Standard TT"/>
        </w:rPr>
        <w:t xml:space="preserve">For the near-term label, on the same held-out steps (250 near-term positives), the probe reaches 0.579 and the best monitor, the Jev forecaster, 0.650 (Figure 2b). The probe is not merely reading the pressure. In an exploratory check on the first data batch (fixed layer 32), a probe trained to tell recruiting steps from control and target-alone steps separates them almost perfectly (AUROC 1.000 on 4,184 steps), yet the same score ranks gave-in against held steps at only 0.430 (eventual label, 2,910 recruiting steps): the near-term probe captures the harder signal of which target gives in, the control</w:t>
      </w:r>
      <w:r>
        <w:rPr>
          <w:rFonts w:ascii="Old Standard TT" w:hAnsi="Old Standard TT"/>
        </w:rPr>
        <w:t xml:space="preserve"> </w:t>
      </w:r>
      <w:r>
        <w:rPr>
          <w:rFonts w:ascii="Old Standard TT" w:hAnsi="Old Standard TT"/>
        </w:rPr>
        <w:t xml:space="preserve">Fomin et al. (2026)</w:t>
      </w:r>
      <w:r>
        <w:rPr>
          <w:rFonts w:ascii="Old Standard TT" w:hAnsi="Old Standard TT"/>
        </w:rPr>
        <w:t xml:space="preserve"> </w:t>
      </w:r>
      <w:r>
        <w:rPr>
          <w:rFonts w:ascii="Old Standard TT" w:hAnsi="Old Standard TT"/>
        </w:rPr>
        <w:t xml:space="preserve">identify as missing.</w:t>
      </w:r>
    </w:p>
    <w:p>
      <w:pPr>
        <w:pStyle w:val="BodyText"/>
        <w:keepNext/>
        <w:widowControl/>
      </w:pPr>
      <w:r>
        <w:rPr>
          <w:rFonts w:ascii="Old Standard TT" w:hAnsi="Old Standard TT"/>
        </w:rPr>
        <w:drawing>
          <wp:inline>
            <wp:extent cx="5943600" cy="2298939"/>
            <wp:effectExtent b="0" l="0" r="0" t="0"/>
            <wp:docPr descr="Figure 2. Predicting eventual and near-term give-in" title="" id="28" name="Picture"/>
            <a:graphic>
              <a:graphicData uri="http://schemas.openxmlformats.org/drawingml/2006/picture">
                <pic:pic>
                  <pic:nvPicPr>
                    <pic:cNvPr descr="figures/figure2_prediction.png" id="29" name="Picture"/>
                    <pic:cNvPicPr>
                      <a:picLocks noChangeArrowheads="1" noChangeAspect="1"/>
                    </pic:cNvPicPr>
                  </pic:nvPicPr>
                  <pic:blipFill>
                    <a:blip r:embed="rId27"/>
                    <a:stretch>
                      <a:fillRect/>
                    </a:stretch>
                  </pic:blipFill>
                  <pic:spPr bwMode="auto">
                    <a:xfrm>
                      <a:off x="0" y="0"/>
                      <a:ext cx="5943600" cy="2298939"/>
                    </a:xfrm>
                    <a:prstGeom prst="rect">
                      <a:avLst/>
                    </a:prstGeom>
                    <a:noFill/>
                    <a:ln w="9525">
                      <a:noFill/>
                      <a:headEnd/>
                      <a:tailEnd/>
                    </a:ln>
                  </pic:spPr>
                </pic:pic>
              </a:graphicData>
            </a:graphic>
          </wp:inline>
        </w:drawing>
      </w:r>
    </w:p>
    <w:p>
      <w:pPr>
        <w:pStyle w:val="Caption"/>
        <w:keepLines/>
        <w:widowControl/>
      </w:pPr>
      <w:r>
        <w:rPr>
          <w:rFonts w:ascii="Old Standard TT" w:hAnsi="Old Standard TT"/>
          <w:b/>
          <w:bCs/>
        </w:rPr>
        <w:t xml:space="preserve">Figure 2.</w:t>
      </w:r>
      <w:r>
        <w:rPr>
          <w:rFonts w:ascii="Old Standard TT" w:hAnsi="Old Standard TT"/>
        </w:rPr>
        <w:t xml:space="preserve"> </w:t>
      </w:r>
      <w:r>
        <w:rPr>
          <w:rFonts w:ascii="Old Standard TT" w:hAnsi="Old Standard TT"/>
        </w:rPr>
        <w:t xml:space="preserve">Eventual give-in is barely predictable; near-term give-in is modestly predictable, and best by a text forecaster. Within scenario × round AUROC (0.5 = chance) on 4,697 recruiting steps from 241 episodes, 95% family-bootstrap whiskers. Filled: held-out scenarios, all data; hollow: the new-episode confirmation set (near-term only, overlapping the all-data set).</w:t>
      </w:r>
    </w:p>
    <w:p>
      <w:pPr>
        <w:pStyle w:val="Heading3"/>
        <w:keepNext/>
        <w:widowControl/>
        <w:spacing w:before="200"/>
      </w:pPr>
      <w:bookmarkStart w:id="30" w:name="_54eb2f5f95f37f7697f90e34f74f02749f09399"/>
      <w:r>
        <w:rPr>
          <w:rFonts w:ascii="Old Standard TT" w:hAnsi="Old Standard TT"/>
        </w:rPr>
        <w:t xml:space="preserve">4.4 The near-term result holds on new episodes</w:t>
      </w:r>
      <w:bookmarkEnd w:id="30"/>
    </w:p>
    <w:p>
      <w:pPr>
        <w:pStyle w:val="FirstParagraph"/>
        <w:widowControl/>
      </w:pPr>
      <w:r>
        <w:rPr>
          <w:rFonts w:ascii="Old Standard TT" w:hAnsi="Old Standard TT"/>
        </w:rPr>
        <w:t xml:space="preserve">We collected 89 new episodes after the analysis plan was fixed and scored them once (1,787 steps, 82 near-term positives). The probe reached 0.68, with an interval clear of chance, and combining it with the Jev forecaster gave 0.70; Jev alone reached 0.64. Neither the probe nor the combination is significantly better than Jev (Jev − probe −0.038 [−0.142, +0.059]; Figure 2, hollow markers).</w:t>
      </w:r>
    </w:p>
    <w:p>
      <w:pPr>
        <w:pStyle w:val="Heading3"/>
        <w:keepNext/>
        <w:widowControl/>
        <w:spacing w:before="200"/>
      </w:pPr>
      <w:bookmarkStart w:id="31" w:name="_85c3c18a506f32b5187d311b60d4211bb43ab9a"/>
      <w:r>
        <w:rPr>
          <w:rFonts w:ascii="Old Standard TT" w:hAnsi="Old Standard TT"/>
        </w:rPr>
        <w:t xml:space="preserve">4.5 Forecasting monitors with the conversation work best; probes help weaker monitors</w:t>
      </w:r>
      <w:bookmarkEnd w:id="31"/>
    </w:p>
    <w:p>
      <w:pPr>
        <w:pStyle w:val="FirstParagraph"/>
        <w:widowControl/>
      </w:pPr>
      <w:r>
        <w:rPr>
          <w:rFonts w:ascii="Old Standard TT" w:hAnsi="Old Standard TT"/>
        </w:rPr>
        <w:t xml:space="preserve">For the near-term label, asking Jev to forecast beats asking it to detect (0.650 versus 0.578 with everything the target saw). The gain comes from the peer’s messages: adding the conversation to Jev’s actions-only view adds +0.123 [0.063, 0.176], while adding everything else the target saw adds only +0.025 [-0.004, 0.054] (interval includes zero). More access does not help every monitor (Appendix E, monitor-design figure).</w:t>
      </w:r>
    </w:p>
    <w:p>
      <w:pPr>
        <w:pStyle w:val="BodyText"/>
        <w:widowControl/>
      </w:pPr>
      <w:r>
        <w:rPr>
          <w:rFonts w:ascii="Old Standard TT" w:hAnsi="Old Standard TT"/>
        </w:rPr>
        <w:t xml:space="preserve">The activation probe adds to the weaker monitor, not the strong forecaster. Stacking it on GPT-5-nano lifts near-term AUROC by +0.081 [0.038, 0.126] in pooled cross-validation and +0.113 [0.025, 0.203] on the confirmation set, but the held-out-scenario gain is +0.022 [-0.013, 0.059] (interval includes zero); it does not clearly add to the Jev forecaster (held-out +0.003 [-0.011, 0.018]). Figure 2 plots the combined rows, and Table 2 (Appendix E) gives the full gains. This agrees with the closest precedent, where a combined monitor gave no clear gain over a strong forecaster</w:t>
      </w:r>
      <w:r>
        <w:rPr>
          <w:rFonts w:ascii="Old Standard TT" w:hAnsi="Old Standard TT"/>
        </w:rPr>
        <w:t xml:space="preserve"> </w:t>
      </w:r>
      <w:r>
        <w:rPr>
          <w:rFonts w:ascii="Old Standard TT" w:hAnsi="Old Standard TT"/>
        </w:rPr>
        <w:t xml:space="preserve">(Gao, 2026)</w:t>
      </w:r>
      <w:r>
        <w:rPr>
          <w:rFonts w:ascii="Old Standard TT" w:hAnsi="Old Standard TT"/>
        </w:rPr>
        <w:t xml:space="preserve">, and extends it with a gain over a weaker judge.</w:t>
      </w:r>
    </w:p>
    <w:p>
      <w:pPr>
        <w:pStyle w:val="Heading3"/>
        <w:keepNext/>
        <w:widowControl/>
        <w:spacing w:before="200"/>
      </w:pPr>
      <w:bookmarkStart w:id="32" w:name="_c86b47103e22507b21b632854b9947cd0f08516"/>
      <w:r>
        <w:rPr>
          <w:rFonts w:ascii="Old Standard TT" w:hAnsi="Old Standard TT"/>
        </w:rPr>
        <w:t xml:space="preserve">4.6 Does it transfer to a second target?</w:t>
      </w:r>
      <w:bookmarkEnd w:id="32"/>
    </w:p>
    <w:p>
      <w:pPr>
        <w:pStyle w:val="FirstParagraph"/>
        <w:widowControl/>
      </w:pPr>
      <w:r>
        <w:rPr>
          <w:rFonts w:ascii="Old Standard TT" w:hAnsi="Old Standard TT"/>
          <w:b/>
          <w:bCs/>
        </w:rPr>
        <w:t xml:space="preserve">[TODO — conditional on the gpt-oss run.]</w:t>
      </w:r>
      <w:r>
        <w:rPr>
          <w:rFonts w:ascii="Old Standard TT" w:hAnsi="Old Standard TT"/>
        </w:rPr>
        <w:t xml:space="preserve"> </w:t>
      </w:r>
      <w:r>
        <w:rPr>
          <w:rFonts w:ascii="Old Standard TT" w:hAnsi="Old Standard TT"/>
        </w:rPr>
        <w:t xml:space="preserve">Only if the second-target pipeline produces a result; otherwise one sentence in 4.1 or Discussion plus an appendix.</w:t>
      </w:r>
    </w:p>
    <w:p>
      <w:pPr>
        <w:pStyle w:val="Heading2"/>
        <w:keepNext/>
        <w:widowControl/>
        <w:spacing w:before="200"/>
      </w:pPr>
      <w:bookmarkStart w:id="33" w:name="_cbd875682116f3153fa9a8f9c77c00f8b5fdab1"/>
      <w:r>
        <w:rPr>
          <w:rFonts w:ascii="Old Standard TT" w:hAnsi="Old Standard TT"/>
        </w:rPr>
        <w:t xml:space="preserve">5. Discussion and Limitations</w:t>
      </w:r>
      <w:bookmarkEnd w:id="33"/>
    </w:p>
    <w:p>
      <w:pPr>
        <w:pStyle w:val="FirstParagraph"/>
        <w:widowControl/>
      </w:pPr>
      <w:r>
        <w:rPr>
          <w:rFonts w:ascii="Old Standard TT" w:hAnsi="Old Standard TT"/>
        </w:rPr>
        <w:t xml:space="preserve">Two patterns organise these results. First, prediction depends on the horizon: eventual give-in is close to unreadable from a single step, while near-term give-in is modestly readable. One reading, consistent with the branching check (Appendix H), is that the outcome is not yet settled at most steps, so a signal appears only as the decision approaches; the alternative is that an early signal exists but our detectors miss it. Either way, a useful warning arrives only shortly before the act. Second, what a detector reads matters more than which detector it is: the largest gain came from giving a text monitor the peer’s messages and asking it to forecast, and the probe helped a weak monitor but not a strong one. For an overseer, the first lever is the monitor’s framing and inputs, with internal signals as a complement where the text is weak.</w:t>
      </w:r>
    </w:p>
    <w:p>
      <w:pPr>
        <w:pStyle w:val="BodyText"/>
        <w:widowControl/>
      </w:pPr>
      <w:r>
        <w:rPr>
          <w:rFonts w:ascii="Old Standard TT" w:hAnsi="Old Standard TT"/>
          <w:b/>
          <w:bCs/>
        </w:rPr>
        <w:t xml:space="preserve">For monitor builders.</w:t>
      </w:r>
      <w:r>
        <w:rPr>
          <w:rFonts w:ascii="Old Standard TT" w:hAnsi="Old Standard TT"/>
        </w:rPr>
        <w:t xml:space="preserve"> </w:t>
      </w:r>
      <w:r>
        <w:rPr>
          <w:rFonts w:ascii="Old Standard TT" w:hAnsi="Old Standard TT"/>
        </w:rPr>
        <w:t xml:space="preserve">Ask the monitor a forecasting question rather than a detection one. Give it the other agent’s messages, not only the target’s own actions. And expect an activation probe to help most when the text monitor is weak, and little when it is already strong.</w:t>
      </w:r>
    </w:p>
    <w:p>
      <w:pPr>
        <w:pStyle w:val="Heading3"/>
        <w:keepNext/>
        <w:widowControl/>
        <w:spacing w:before="200"/>
      </w:pPr>
      <w:bookmarkStart w:id="34" w:name="_limitations"/>
      <w:r>
        <w:rPr>
          <w:rFonts w:ascii="Old Standard TT" w:hAnsi="Old Standard TT"/>
        </w:rPr>
        <w:t xml:space="preserve">Limitations</w:t>
      </w:r>
      <w:bookmarkEnd w:id="34"/>
    </w:p>
    <w:p>
      <w:pPr>
        <w:pStyle w:val="FirstParagraph"/>
        <w:widowControl/>
      </w:pPr>
      <w:r>
        <w:rPr>
          <w:rFonts w:ascii="Old Standard TT" w:hAnsi="Old Standard TT"/>
        </w:rPr>
        <w:t xml:space="preserve">One target model (Qwen3-32B) on six scenarios from one task template. Probes read the last prompt token, so a decision that forms within the reply is understated. The deliberate/accidental split relies on one automated judge (36 of 40 against hand labels). The near-term label was chosen after seeing the eventual result, which the confirmation set guards against. The environment is synthetic. Full list and dual-use statement: Appendix A.</w:t>
      </w:r>
    </w:p>
    <w:p>
      <w:pPr>
        <w:pStyle w:val="Heading3"/>
        <w:keepNext/>
        <w:widowControl/>
        <w:spacing w:before="200"/>
      </w:pPr>
      <w:bookmarkStart w:id="35" w:name="_32691ce30b0dd97ec3690ce7d97c5c9a26aa3b1"/>
      <w:r>
        <w:rPr>
          <w:rFonts w:ascii="Old Standard TT" w:hAnsi="Old Standard TT"/>
        </w:rPr>
        <w:t xml:space="preserve">Future Work</w:t>
      </w:r>
      <w:bookmarkEnd w:id="35"/>
    </w:p>
    <w:p>
      <w:pPr>
        <w:pStyle w:val="FirstParagraph"/>
        <w:widowControl/>
      </w:pPr>
      <w:r>
        <w:rPr>
          <w:rFonts w:ascii="Old Standard TT" w:hAnsi="Old Standard TT"/>
        </w:rPr>
        <w:t xml:space="preserve">A second target with a different route to giving in (Appendix F begins this). Then: warning signals that transfer across models and settings, probes read at the decision token rather than the last prompt token, and a stronger monitor ensemble, to test the probe’s complement against the best judge rather than a weak one.</w:t>
      </w:r>
    </w:p>
    <w:p>
      <w:pPr>
        <w:pStyle w:val="Heading2"/>
        <w:keepNext/>
        <w:widowControl/>
        <w:spacing w:before="200"/>
      </w:pPr>
      <w:bookmarkStart w:id="36" w:name="_conclusion"/>
      <w:r>
        <w:rPr>
          <w:rFonts w:ascii="Old Standard TT" w:hAnsi="Old Standard TT"/>
        </w:rPr>
        <w:t xml:space="preserve">6. Conclusion</w:t>
      </w:r>
      <w:bookmarkEnd w:id="36"/>
    </w:p>
    <w:p>
      <w:pPr>
        <w:pStyle w:val="FirstParagraph"/>
        <w:widowControl/>
      </w:pPr>
      <w:r>
        <w:rPr>
          <w:rFonts w:ascii="Old Standard TT" w:hAnsi="Old Standard TT"/>
        </w:rPr>
        <w:t xml:space="preserve">A peer agent can push a target into breaking its operator’s rule. On Qwen3-32B across six scenarios, eventual give-in is barely predictable from a single step, but near-term give-in is modestly predictable, and it held on new episodes under a plan fixed in advance. A probe that detects the pressure still cannot say who gives in.</w:t>
      </w:r>
    </w:p>
    <w:p>
      <w:pPr>
        <w:pStyle w:val="BodyText"/>
        <w:widowControl/>
      </w:pPr>
      <w:r>
        <w:rPr>
          <w:rFonts w:ascii="Old Standard TT" w:hAnsi="Old Standard TT"/>
        </w:rPr>
        <w:t xml:space="preserve">For monitors, a forecasting question and the peer’s messages carry the gain, and a probe helps a weak monitor but not a strong one. Transferable early warning signals would let an overseer interrupt recruitment before it succeeds; our setup and matched scoring are a step toward them.</w:t>
      </w:r>
    </w:p>
    <w:p>
      <w:pPr>
        <w:pStyle w:val="Heading2"/>
        <w:keepNext/>
        <w:widowControl/>
        <w:spacing w:before="200"/>
      </w:pPr>
      <w:bookmarkStart w:id="37" w:name="_1f6b0a6dd8de899b0bf2d89a88c0574c2ef490f"/>
      <w:r>
        <w:rPr>
          <w:rFonts w:ascii="Old Standard TT" w:hAnsi="Old Standard TT"/>
        </w:rPr>
        <w:t xml:space="preserve">Code and Data</w:t>
      </w:r>
      <w:bookmarkEnd w:id="37"/>
    </w:p>
    <w:p>
      <w:pPr>
        <w:pStyle w:val="FirstParagraph"/>
        <w:widowControl/>
      </w:pPr>
      <w:r>
        <w:rPr>
          <w:rFonts w:ascii="Old Standard TT" w:hAnsi="Old Standard TT"/>
        </w:rPr>
        <w:t xml:space="preserve">The code, prompts, scoring scripts, saved activations and transcripts are released in the repository [TODO: tag and URL]. Tool environments are mocked and every protected value is a randomly generated fake. The sprint start is taken as Fri 23 Oct 00:00 AoE (20:00 SGT); only commit</w:t>
      </w:r>
      <w:r>
        <w:rPr>
          <w:rFonts w:ascii="Old Standard TT" w:hAnsi="Old Standard TT"/>
        </w:rPr>
        <w:t xml:space="preserve"> </w:t>
      </w:r>
      <w:r>
        <w:rPr>
          <w:rStyle w:val="VerbatimChar"/>
          <w:rFonts w:ascii="Old Standard TT" w:hAnsi="Old Standard TT"/>
        </w:rPr>
        <w:t xml:space="preserve">a5bd6f93</w:t>
      </w:r>
      <w:r>
        <w:rPr>
          <w:rFonts w:ascii="Old Standard TT" w:hAnsi="Old Standard TT"/>
        </w:rPr>
        <w:t xml:space="preserve"> </w:t>
      </w:r>
      <w:r>
        <w:rPr>
          <w:rFonts w:ascii="Old Standard TT" w:hAnsi="Old Standard TT"/>
        </w:rPr>
        <w:t xml:space="preserve">(planning documents, no code) predates it, and that is the only work that existed before the sprint.</w:t>
      </w:r>
    </w:p>
    <w:p>
      <w:pPr>
        <w:pStyle w:val="Heading2"/>
        <w:keepNext/>
        <w:pageBreakBefore/>
        <w:widowControl/>
        <w:spacing w:before="200"/>
      </w:pPr>
      <w:bookmarkStart w:id="38" w:name="_references"/>
      <w:r>
        <w:rPr>
          <w:rFonts w:ascii="Old Standard TT" w:hAnsi="Old Standard TT"/>
        </w:rPr>
        <w:t xml:space="preserve">References</w:t>
      </w:r>
      <w:bookmarkEnd w:id="38"/>
    </w:p>
    <w:bookmarkStart w:id="97" w:name="_refs"/>
    <w:bookmarkStart w:id="40" w:name="_22565e72b5aca39e8ba0485919b69fa2e432c29"/>
    <w:p>
      <w:pPr>
        <w:pStyle w:val="Bibliography"/>
        <w:widowControl/>
        <w:spacing w:line="480" w:lineRule="auto"/>
        <w:ind w:left="720" w:hanging="720"/>
      </w:pPr>
      <w:r>
        <w:rPr>
          <w:rFonts w:ascii="Old Standard TT" w:hAnsi="Old Standard TT"/>
        </w:rPr>
        <w:t xml:space="preserve">Agrawal, K., Teo, V., Vazquez, J. J., Kunnavakkam, S., Srikanth, V., &amp; Liu, A. (2025).</w:t>
      </w:r>
      <w:r>
        <w:rPr>
          <w:rFonts w:ascii="Old Standard TT" w:hAnsi="Old Standard TT"/>
        </w:rPr>
        <w:t xml:space="preserve"> </w:t>
      </w:r>
      <w:r>
        <w:rPr>
          <w:rFonts w:ascii="Old Standard TT" w:hAnsi="Old Standard TT"/>
          <w:i/>
          <w:iCs/>
        </w:rPr>
        <w:t xml:space="preserve">Evaluating LLM agent collusion in double auctions</w:t>
      </w:r>
      <w:r>
        <w:rPr>
          <w:rFonts w:ascii="Old Standard TT" w:hAnsi="Old Standard TT"/>
        </w:rPr>
        <w:t xml:space="preserve">. arXiv preprint arXiv:2507.01413.</w:t>
      </w:r>
      <w:r>
        <w:rPr>
          <w:rFonts w:ascii="Old Standard TT" w:hAnsi="Old Standard TT"/>
        </w:rPr>
        <w:t xml:space="preserve"> </w:t>
      </w:r>
      <w:r>
        <w:rPr>
          <w:rStyle w:val="Hyperlink"/>
        </w:rPr>
        <w:t xml:space="preserve">https://arxiv.org/abs/2507.01413</w:t>
      </w:r>
    </w:p>
    <w:bookmarkEnd w:id="40"/>
    <w:bookmarkStart w:id="42" w:name="_25a40a9fa1f8c5277668571fb8a3b9e09c6db08"/>
    <w:p>
      <w:pPr>
        <w:pStyle w:val="Bibliography"/>
        <w:widowControl/>
        <w:spacing w:line="480" w:lineRule="auto"/>
        <w:ind w:left="720" w:hanging="720"/>
      </w:pPr>
      <w:r>
        <w:rPr>
          <w:rFonts w:ascii="Old Standard TT" w:hAnsi="Old Standard TT"/>
        </w:rPr>
        <w:t xml:space="preserve">Arike, R., Moreno, R. M., Subramani, R., Biswas, S., &amp; Ward, F. R. (2026).</w:t>
      </w:r>
      <w:r>
        <w:rPr>
          <w:rFonts w:ascii="Old Standard TT" w:hAnsi="Old Standard TT"/>
        </w:rPr>
        <w:t xml:space="preserve"> </w:t>
      </w:r>
      <w:r>
        <w:rPr>
          <w:rFonts w:ascii="Old Standard TT" w:hAnsi="Old Standard TT"/>
          <w:i/>
          <w:iCs/>
        </w:rPr>
        <w:t xml:space="preserve">How does information access affect LLM monitors’ ability to detect sabotage?</w:t>
      </w:r>
      <w:r>
        <w:rPr>
          <w:rFonts w:ascii="Old Standard TT" w:hAnsi="Old Standard TT"/>
        </w:rPr>
        <w:t xml:space="preserve"> </w:t>
      </w:r>
      <w:r>
        <w:rPr>
          <w:rFonts w:ascii="Old Standard TT" w:hAnsi="Old Standard TT"/>
        </w:rPr>
        <w:t xml:space="preserve">arXiv preprint arXiv:2601.21112.</w:t>
      </w:r>
      <w:r>
        <w:rPr>
          <w:rFonts w:ascii="Old Standard TT" w:hAnsi="Old Standard TT"/>
        </w:rPr>
        <w:t xml:space="preserve"> </w:t>
      </w:r>
      <w:r>
        <w:rPr>
          <w:rStyle w:val="Hyperlink"/>
        </w:rPr>
        <w:t xml:space="preserve">https://arxiv.org/abs/2601.21112</w:t>
      </w:r>
    </w:p>
    <w:bookmarkEnd w:id="42"/>
    <w:bookmarkStart w:id="44" w:name="_a61314d0a01967b6604c7bcd6f1686d1d876798"/>
    <w:p>
      <w:pPr>
        <w:pStyle w:val="Bibliography"/>
        <w:widowControl/>
        <w:spacing w:line="480" w:lineRule="auto"/>
        <w:ind w:left="720" w:hanging="720"/>
      </w:pPr>
      <w:r>
        <w:rPr>
          <w:rFonts w:ascii="Old Standard TT" w:hAnsi="Old Standard TT"/>
        </w:rPr>
        <w:t xml:space="preserve">Bashir, A., Han, T. A., &amp; Shamszaman, Z. U. (2025).</w:t>
      </w:r>
      <w:r>
        <w:rPr>
          <w:rFonts w:ascii="Old Standard TT" w:hAnsi="Old Standard TT"/>
        </w:rPr>
        <w:t xml:space="preserve"> </w:t>
      </w:r>
      <w:r>
        <w:rPr>
          <w:rFonts w:ascii="Old Standard TT" w:hAnsi="Old Standard TT"/>
          <w:i/>
          <w:iCs/>
        </w:rPr>
        <w:t xml:space="preserve">Many-to-one adversarial consensus: Exposing multi-agent collusion risks in AI-based healthcare</w:t>
      </w:r>
      <w:r>
        <w:rPr>
          <w:rFonts w:ascii="Old Standard TT" w:hAnsi="Old Standard TT"/>
        </w:rPr>
        <w:t xml:space="preserve">. arXiv preprint arXiv:2512.03097.</w:t>
      </w:r>
      <w:r>
        <w:rPr>
          <w:rFonts w:ascii="Old Standard TT" w:hAnsi="Old Standard TT"/>
        </w:rPr>
        <w:t xml:space="preserve"> </w:t>
      </w:r>
      <w:r>
        <w:rPr>
          <w:rStyle w:val="Hyperlink"/>
        </w:rPr>
        <w:t xml:space="preserve">https://arxiv.org/abs/2512.03097</w:t>
      </w:r>
    </w:p>
    <w:bookmarkEnd w:id="44"/>
    <w:bookmarkStart w:id="46" w:name="_cae124ad2163d914de595c3fac72752adaba925"/>
    <w:p>
      <w:pPr>
        <w:pStyle w:val="Bibliography"/>
        <w:widowControl/>
        <w:spacing w:line="480" w:lineRule="auto"/>
        <w:ind w:left="720" w:hanging="720"/>
      </w:pPr>
      <w:r>
        <w:rPr>
          <w:rFonts w:ascii="Old Standard TT" w:hAnsi="Old Standard TT"/>
        </w:rPr>
        <w:t xml:space="preserve">Cunningham, H., Wei, J., Wang, Z., Persic, A., Peng, A., Abderrachid, J., Agarwal, R., Chen, B., Cohen, A., Dau, A., Dimitriev, A., Gilson, R., Howard, L., Hua, Y., Kaplan, J., Leike, J., Lin, M., Liu, C., Mikulik, V., … Sharma, M. (2026).</w:t>
      </w:r>
      <w:r>
        <w:rPr>
          <w:rFonts w:ascii="Old Standard TT" w:hAnsi="Old Standard TT"/>
        </w:rPr>
        <w:t xml:space="preserve"> </w:t>
      </w:r>
      <w:r>
        <w:rPr>
          <w:rFonts w:ascii="Old Standard TT" w:hAnsi="Old Standard TT"/>
          <w:i/>
          <w:iCs/>
        </w:rPr>
        <w:t xml:space="preserve">Constitutional classifiers++: Efficient production-grade defenses against universal jailbreaks</w:t>
      </w:r>
      <w:r>
        <w:rPr>
          <w:rFonts w:ascii="Old Standard TT" w:hAnsi="Old Standard TT"/>
        </w:rPr>
        <w:t xml:space="preserve">. arXiv preprint arXiv:2601.04603.</w:t>
      </w:r>
      <w:r>
        <w:rPr>
          <w:rFonts w:ascii="Old Standard TT" w:hAnsi="Old Standard TT"/>
        </w:rPr>
        <w:t xml:space="preserve"> </w:t>
      </w:r>
      <w:r>
        <w:rPr>
          <w:rStyle w:val="Hyperlink"/>
        </w:rPr>
        <w:t xml:space="preserve">https://arxiv.org/abs/2601.04603</w:t>
      </w:r>
    </w:p>
    <w:bookmarkEnd w:id="46"/>
    <w:bookmarkStart w:id="48" w:name="_ae56ffc8b9fad3c026c8576d549208e3578dbf8"/>
    <w:p>
      <w:pPr>
        <w:pStyle w:val="Bibliography"/>
        <w:widowControl/>
        <w:spacing w:line="480" w:lineRule="auto"/>
        <w:ind w:left="720" w:hanging="720"/>
      </w:pPr>
      <w:r>
        <w:rPr>
          <w:rFonts w:ascii="Old Standard TT" w:hAnsi="Old Standard TT"/>
        </w:rPr>
        <w:t xml:space="preserve">DeepSeek. (2026).</w:t>
      </w:r>
      <w:r>
        <w:rPr>
          <w:rFonts w:ascii="Old Standard TT" w:hAnsi="Old Standard TT"/>
        </w:rPr>
        <w:t xml:space="preserve"> </w:t>
      </w:r>
      <w:r>
        <w:rPr>
          <w:rFonts w:ascii="Old Standard TT" w:hAnsi="Old Standard TT"/>
          <w:i/>
          <w:iCs/>
        </w:rPr>
        <w:t xml:space="preserve">DeepSeek</w:t>
      </w:r>
      <w:r>
        <w:rPr>
          <w:rFonts w:ascii="Old Standard TT" w:hAnsi="Old Standard TT"/>
          <w:i/>
          <w:iCs/>
        </w:rPr>
        <w:t xml:space="preserve"> </w:t>
      </w:r>
      <w:r>
        <w:rPr>
          <w:rFonts w:ascii="Old Standard TT" w:hAnsi="Old Standard TT"/>
          <w:i/>
          <w:iCs/>
        </w:rPr>
        <w:t xml:space="preserve">V4</w:t>
      </w:r>
      <w:r>
        <w:rPr>
          <w:rFonts w:ascii="Old Standard TT" w:hAnsi="Old Standard TT"/>
          <w:i/>
          <w:iCs/>
        </w:rPr>
        <w:t xml:space="preserve"> </w:t>
      </w:r>
      <w:r>
        <w:rPr>
          <w:rFonts w:ascii="Old Standard TT" w:hAnsi="Old Standard TT"/>
          <w:i/>
          <w:iCs/>
        </w:rPr>
        <w:t xml:space="preserve">Flash</w:t>
      </w:r>
      <w:r>
        <w:rPr>
          <w:rFonts w:ascii="Old Standard TT" w:hAnsi="Old Standard TT"/>
        </w:rPr>
        <w:t xml:space="preserve">. Model listing, OpenRouter.</w:t>
      </w:r>
      <w:r>
        <w:rPr>
          <w:rFonts w:ascii="Old Standard TT" w:hAnsi="Old Standard TT"/>
        </w:rPr>
        <w:t xml:space="preserve"> </w:t>
      </w:r>
      <w:r>
        <w:rPr>
          <w:rStyle w:val="Hyperlink"/>
        </w:rPr>
        <w:t xml:space="preserve">https://openrouter.ai/deepseek/deepseek-v4-flash</w:t>
      </w:r>
    </w:p>
    <w:bookmarkEnd w:id="48"/>
    <w:bookmarkStart w:id="50" w:name="_cc05734939f0b839ddf5ae82b3ba82e64283a8e"/>
    <w:p>
      <w:pPr>
        <w:pStyle w:val="Bibliography"/>
        <w:widowControl/>
        <w:spacing w:line="480" w:lineRule="auto"/>
        <w:ind w:left="720" w:hanging="720"/>
      </w:pPr>
      <w:r>
        <w:rPr>
          <w:rFonts w:ascii="Old Standard TT" w:hAnsi="Old Standard TT"/>
        </w:rPr>
        <w:t xml:space="preserve">Dong, J., Liu, Y., Zhang, M., Deng, N., Xu, P., Zhang, X., Zhang, T., Zhang, J., &amp; Qiu, H. (2026).</w:t>
      </w:r>
      <w:r>
        <w:rPr>
          <w:rFonts w:ascii="Old Standard TT" w:hAnsi="Old Standard TT"/>
        </w:rPr>
        <w:t xml:space="preserve"> </w:t>
      </w:r>
      <w:r>
        <w:rPr>
          <w:rFonts w:ascii="Old Standard TT" w:hAnsi="Old Standard TT"/>
          <w:i/>
          <w:iCs/>
        </w:rPr>
        <w:t xml:space="preserve">Your agentic LLMs secretly encode indirect prompt-injection exposure in hidden states</w:t>
      </w:r>
      <w:r>
        <w:rPr>
          <w:rFonts w:ascii="Old Standard TT" w:hAnsi="Old Standard TT"/>
        </w:rPr>
        <w:t xml:space="preserve">. arXiv preprint arXiv:2608.02657.</w:t>
      </w:r>
      <w:r>
        <w:rPr>
          <w:rFonts w:ascii="Old Standard TT" w:hAnsi="Old Standard TT"/>
        </w:rPr>
        <w:t xml:space="preserve"> </w:t>
      </w:r>
      <w:r>
        <w:rPr>
          <w:rStyle w:val="Hyperlink"/>
        </w:rPr>
        <w:t xml:space="preserve">https://arxiv.org/abs/2608.02657</w:t>
      </w:r>
    </w:p>
    <w:bookmarkEnd w:id="50"/>
    <w:bookmarkStart w:id="52" w:name="_0b42becb70699bc6e5f34251cc6e529a0b09015"/>
    <w:p>
      <w:pPr>
        <w:pStyle w:val="Bibliography"/>
        <w:widowControl/>
        <w:spacing w:line="480" w:lineRule="auto"/>
        <w:ind w:left="720" w:hanging="720"/>
      </w:pPr>
      <w:r>
        <w:rPr>
          <w:rFonts w:ascii="Old Standard TT" w:hAnsi="Old Standard TT"/>
        </w:rPr>
        <w:t xml:space="preserve">Fish, S., Gonczarowski, Y. A., &amp; Shorrer, R. I. (2026).</w:t>
      </w:r>
      <w:r>
        <w:rPr>
          <w:rFonts w:ascii="Old Standard TT" w:hAnsi="Old Standard TT"/>
        </w:rPr>
        <w:t xml:space="preserve"> </w:t>
      </w:r>
      <w:r>
        <w:rPr>
          <w:rFonts w:ascii="Old Standard TT" w:hAnsi="Old Standard TT"/>
          <w:i/>
          <w:iCs/>
        </w:rPr>
        <w:t xml:space="preserve">Algorithmic collusion by large language models</w:t>
      </w:r>
      <w:r>
        <w:rPr>
          <w:rFonts w:ascii="Old Standard TT" w:hAnsi="Old Standard TT"/>
        </w:rPr>
        <w:t xml:space="preserve">. arXiv preprint arXiv:2404.00806.</w:t>
      </w:r>
      <w:r>
        <w:rPr>
          <w:rFonts w:ascii="Old Standard TT" w:hAnsi="Old Standard TT"/>
        </w:rPr>
        <w:t xml:space="preserve"> </w:t>
      </w:r>
      <w:r>
        <w:rPr>
          <w:rStyle w:val="Hyperlink"/>
        </w:rPr>
        <w:t xml:space="preserve">https://arxiv.org/abs/2404.00806</w:t>
      </w:r>
    </w:p>
    <w:bookmarkEnd w:id="52"/>
    <w:bookmarkStart w:id="54" w:name="_5612caedd6712259fb484942b174e6edf947624"/>
    <w:p>
      <w:pPr>
        <w:pStyle w:val="Bibliography"/>
        <w:widowControl/>
        <w:spacing w:line="480" w:lineRule="auto"/>
        <w:ind w:left="720" w:hanging="720"/>
      </w:pPr>
      <w:r>
        <w:rPr>
          <w:rFonts w:ascii="Old Standard TT" w:hAnsi="Old Standard TT"/>
        </w:rPr>
        <w:t xml:space="preserve">Fomin, M., David, E., &amp; LeVi, A. (2026).</w:t>
      </w:r>
      <w:r>
        <w:rPr>
          <w:rFonts w:ascii="Old Standard TT" w:hAnsi="Old Standard TT"/>
        </w:rPr>
        <w:t xml:space="preserve"> </w:t>
      </w:r>
      <w:r>
        <w:rPr>
          <w:rFonts w:ascii="Old Standard TT" w:hAnsi="Old Standard TT"/>
          <w:i/>
          <w:iCs/>
        </w:rPr>
        <w:t xml:space="preserve">Internal-state probes read the situation, not the action: Three negative results for pre-action misalignment monitoring</w:t>
      </w:r>
      <w:r>
        <w:rPr>
          <w:rFonts w:ascii="Old Standard TT" w:hAnsi="Old Standard TT"/>
        </w:rPr>
        <w:t xml:space="preserve">. arXiv preprint arXiv:2606.30449.</w:t>
      </w:r>
      <w:r>
        <w:rPr>
          <w:rFonts w:ascii="Old Standard TT" w:hAnsi="Old Standard TT"/>
        </w:rPr>
        <w:t xml:space="preserve"> </w:t>
      </w:r>
      <w:r>
        <w:rPr>
          <w:rStyle w:val="Hyperlink"/>
        </w:rPr>
        <w:t xml:space="preserve">https://arxiv.org/abs/2606.30449</w:t>
      </w:r>
    </w:p>
    <w:bookmarkEnd w:id="54"/>
    <w:bookmarkStart w:id="56" w:name="_b677cfc8905cc5b5ecd20d270f57aeb8044eebf"/>
    <w:p>
      <w:pPr>
        <w:pStyle w:val="Bibliography"/>
        <w:widowControl/>
        <w:spacing w:line="480" w:lineRule="auto"/>
        <w:ind w:left="720" w:hanging="720"/>
      </w:pPr>
      <w:r>
        <w:rPr>
          <w:rFonts w:ascii="Old Standard TT" w:hAnsi="Old Standard TT"/>
        </w:rPr>
        <w:t xml:space="preserve">Gao, X. (2026).</w:t>
      </w:r>
      <w:r>
        <w:rPr>
          <w:rFonts w:ascii="Old Standard TT" w:hAnsi="Old Standard TT"/>
        </w:rPr>
        <w:t xml:space="preserve"> </w:t>
      </w:r>
      <w:r>
        <w:rPr>
          <w:rFonts w:ascii="Old Standard TT" w:hAnsi="Old Standard TT"/>
          <w:i/>
          <w:iCs/>
        </w:rPr>
        <w:t xml:space="preserve">From probe scores to alarm policies: Operational validity of activation monitors for language-model agents</w:t>
      </w:r>
      <w:r>
        <w:rPr>
          <w:rFonts w:ascii="Old Standard TT" w:hAnsi="Old Standard TT"/>
        </w:rPr>
        <w:t xml:space="preserve">. arXiv preprint arXiv:2610.04575.</w:t>
      </w:r>
      <w:r>
        <w:rPr>
          <w:rFonts w:ascii="Old Standard TT" w:hAnsi="Old Standard TT"/>
        </w:rPr>
        <w:t xml:space="preserve"> </w:t>
      </w:r>
      <w:r>
        <w:rPr>
          <w:rStyle w:val="Hyperlink"/>
        </w:rPr>
        <w:t xml:space="preserve">https://arxiv.org/abs/2610.04575</w:t>
      </w:r>
    </w:p>
    <w:bookmarkEnd w:id="56"/>
    <w:bookmarkStart w:id="58" w:name="_36eb5a352a13bd47ba7bc4257914192551e466d"/>
    <w:p>
      <w:pPr>
        <w:pStyle w:val="Bibliography"/>
        <w:widowControl/>
        <w:spacing w:line="480" w:lineRule="auto"/>
        <w:ind w:left="720" w:hanging="720"/>
      </w:pPr>
      <w:r>
        <w:rPr>
          <w:rFonts w:ascii="Old Standard TT" w:hAnsi="Old Standard TT"/>
        </w:rPr>
        <w:t xml:space="preserve">Goldowsky-Dill, N., Chughtai, B., Heimersheim, S., &amp; Hobbhahn, M. (2025).</w:t>
      </w:r>
      <w:r>
        <w:rPr>
          <w:rFonts w:ascii="Old Standard TT" w:hAnsi="Old Standard TT"/>
        </w:rPr>
        <w:t xml:space="preserve"> </w:t>
      </w:r>
      <w:r>
        <w:rPr>
          <w:rFonts w:ascii="Old Standard TT" w:hAnsi="Old Standard TT"/>
          <w:i/>
          <w:iCs/>
        </w:rPr>
        <w:t xml:space="preserve">Detecting strategic deception using linear probes</w:t>
      </w:r>
      <w:r>
        <w:rPr>
          <w:rFonts w:ascii="Old Standard TT" w:hAnsi="Old Standard TT"/>
        </w:rPr>
        <w:t xml:space="preserve">. arXiv preprint arXiv:2502.03407.</w:t>
      </w:r>
      <w:r>
        <w:rPr>
          <w:rFonts w:ascii="Old Standard TT" w:hAnsi="Old Standard TT"/>
        </w:rPr>
        <w:t xml:space="preserve"> </w:t>
      </w:r>
      <w:r>
        <w:rPr>
          <w:rStyle w:val="Hyperlink"/>
        </w:rPr>
        <w:t xml:space="preserve">https://arxiv.org/abs/2502.03407</w:t>
      </w:r>
    </w:p>
    <w:bookmarkEnd w:id="58"/>
    <w:bookmarkStart w:id="60" w:name="_e8ee0807f13a04197863c4abc7b775c7d8a868b"/>
    <w:p>
      <w:pPr>
        <w:pStyle w:val="Bibliography"/>
        <w:widowControl/>
        <w:spacing w:line="480" w:lineRule="auto"/>
        <w:ind w:left="720" w:hanging="720"/>
      </w:pPr>
      <w:r>
        <w:rPr>
          <w:rFonts w:ascii="Old Standard TT" w:hAnsi="Old Standard TT"/>
        </w:rPr>
        <w:t xml:space="preserve">Greenblatt, R., Cotra, A., &amp; Wijk, H. (2026).</w:t>
      </w:r>
      <w:r>
        <w:rPr>
          <w:rFonts w:ascii="Old Standard TT" w:hAnsi="Old Standard TT"/>
        </w:rPr>
        <w:t xml:space="preserve"> </w:t>
      </w:r>
      <w:r>
        <w:rPr>
          <w:rFonts w:ascii="Old Standard TT" w:hAnsi="Old Standard TT"/>
          <w:i/>
          <w:iCs/>
        </w:rPr>
        <w:t xml:space="preserve">Brief independent investigation of agents’ behavior, reasoning and collaboration in the</w:t>
      </w:r>
      <w:r>
        <w:rPr>
          <w:rFonts w:ascii="Old Standard TT" w:hAnsi="Old Standard TT"/>
          <w:i/>
          <w:iCs/>
        </w:rPr>
        <w:t xml:space="preserve"> </w:t>
      </w:r>
      <w:r>
        <w:rPr>
          <w:rFonts w:ascii="Old Standard TT" w:hAnsi="Old Standard TT"/>
          <w:i/>
          <w:iCs/>
        </w:rPr>
        <w:t xml:space="preserve">OpenAI</w:t>
      </w:r>
      <w:r>
        <w:rPr>
          <w:rFonts w:ascii="Old Standard TT" w:hAnsi="Old Standard TT"/>
          <w:i/>
          <w:iCs/>
        </w:rPr>
        <w:t xml:space="preserve"> </w:t>
      </w:r>
      <w:r>
        <w:rPr>
          <w:rFonts w:ascii="Old Standard TT" w:hAnsi="Old Standard TT"/>
          <w:i/>
          <w:iCs/>
        </w:rPr>
        <w:t xml:space="preserve">/</w:t>
      </w:r>
      <w:r>
        <w:rPr>
          <w:rFonts w:ascii="Old Standard TT" w:hAnsi="Old Standard TT"/>
          <w:i/>
          <w:iCs/>
        </w:rPr>
        <w:t xml:space="preserve"> </w:t>
      </w:r>
      <w:r>
        <w:rPr>
          <w:rFonts w:ascii="Old Standard TT" w:hAnsi="Old Standard TT"/>
          <w:i/>
          <w:iCs/>
        </w:rPr>
        <w:t xml:space="preserve">Hugging Face</w:t>
      </w:r>
      <w:r>
        <w:rPr>
          <w:rFonts w:ascii="Old Standard TT" w:hAnsi="Old Standard TT"/>
          <w:i/>
          <w:iCs/>
        </w:rPr>
        <w:t xml:space="preserve"> </w:t>
      </w:r>
      <w:r>
        <w:rPr>
          <w:rFonts w:ascii="Old Standard TT" w:hAnsi="Old Standard TT"/>
          <w:i/>
          <w:iCs/>
        </w:rPr>
        <w:t xml:space="preserve">hacking incident</w:t>
      </w:r>
      <w:r>
        <w:rPr>
          <w:rFonts w:ascii="Old Standard TT" w:hAnsi="Old Standard TT"/>
        </w:rPr>
        <w:t xml:space="preserve">.</w:t>
      </w:r>
      <w:r>
        <w:rPr>
          <w:rFonts w:ascii="Old Standard TT" w:hAnsi="Old Standard TT"/>
        </w:rPr>
        <w:t xml:space="preserve"> </w:t>
      </w:r>
      <w:r>
        <w:rPr>
          <w:rStyle w:val="Hyperlink"/>
        </w:rPr>
        <w:t xml:space="preserve">https://www.redwoodresearch.org/research/hugging-face-incident</w:t>
      </w:r>
      <w:r>
        <w:rPr>
          <w:rFonts w:ascii="Old Standard TT" w:hAnsi="Old Standard TT"/>
        </w:rPr>
        <w:t xml:space="preserve">.</w:t>
      </w:r>
    </w:p>
    <w:bookmarkEnd w:id="60"/>
    <w:bookmarkStart w:id="62" w:name="_8af5bf46d6d6f706de86406b12f93437ef2e088"/>
    <w:p>
      <w:pPr>
        <w:pStyle w:val="Bibliography"/>
        <w:widowControl/>
        <w:spacing w:line="480" w:lineRule="auto"/>
        <w:ind w:left="720" w:hanging="720"/>
      </w:pPr>
      <w:r>
        <w:rPr>
          <w:rFonts w:ascii="Old Standard TT" w:hAnsi="Old Standard TT"/>
        </w:rPr>
        <w:t xml:space="preserve">Kortukov, E., Komorowski, P., Klein, F., Engl, P., Sarti, G., Oh, S. J., Lapuschkin, S., &amp; Samek, W. (2026).</w:t>
      </w:r>
      <w:r>
        <w:rPr>
          <w:rFonts w:ascii="Old Standard TT" w:hAnsi="Old Standard TT"/>
        </w:rPr>
        <w:t xml:space="preserve"> </w:t>
      </w:r>
      <w:r>
        <w:rPr>
          <w:rFonts w:ascii="Old Standard TT" w:hAnsi="Old Standard TT"/>
          <w:i/>
          <w:iCs/>
        </w:rPr>
        <w:t xml:space="preserve">Predicting future behaviors in reasoning models enables better steering</w:t>
      </w:r>
      <w:r>
        <w:rPr>
          <w:rFonts w:ascii="Old Standard TT" w:hAnsi="Old Standard TT"/>
        </w:rPr>
        <w:t xml:space="preserve">. arXiv preprint arXiv:2606.11172.</w:t>
      </w:r>
      <w:r>
        <w:rPr>
          <w:rFonts w:ascii="Old Standard TT" w:hAnsi="Old Standard TT"/>
        </w:rPr>
        <w:t xml:space="preserve"> </w:t>
      </w:r>
      <w:r>
        <w:rPr>
          <w:rStyle w:val="Hyperlink"/>
        </w:rPr>
        <w:t xml:space="preserve">https://arxiv.org/abs/2606.11172</w:t>
      </w:r>
    </w:p>
    <w:bookmarkEnd w:id="62"/>
    <w:bookmarkStart w:id="64" w:name="_cff4ee575b4ce7e552fa49d79d57ba57bd3be38"/>
    <w:p>
      <w:pPr>
        <w:pStyle w:val="Bibliography"/>
        <w:widowControl/>
        <w:spacing w:line="480" w:lineRule="auto"/>
        <w:ind w:left="720" w:hanging="720"/>
      </w:pPr>
      <w:r>
        <w:rPr>
          <w:rFonts w:ascii="Old Standard TT" w:hAnsi="Old Standard TT"/>
        </w:rPr>
        <w:t xml:space="preserve">Kramár, J., Engels, J., Wang, Z., Chughtai, B., Shah, R., Nanda, N., &amp; Conmy, A. (2026).</w:t>
      </w:r>
      <w:r>
        <w:rPr>
          <w:rFonts w:ascii="Old Standard TT" w:hAnsi="Old Standard TT"/>
        </w:rPr>
        <w:t xml:space="preserve"> </w:t>
      </w:r>
      <w:r>
        <w:rPr>
          <w:rFonts w:ascii="Old Standard TT" w:hAnsi="Old Standard TT"/>
          <w:i/>
          <w:iCs/>
        </w:rPr>
        <w:t xml:space="preserve">Building production-ready probes for gemini</w:t>
      </w:r>
      <w:r>
        <w:rPr>
          <w:rFonts w:ascii="Old Standard TT" w:hAnsi="Old Standard TT"/>
        </w:rPr>
        <w:t xml:space="preserve">. arXiv preprint arXiv:2601.11516.</w:t>
      </w:r>
      <w:r>
        <w:rPr>
          <w:rFonts w:ascii="Old Standard TT" w:hAnsi="Old Standard TT"/>
        </w:rPr>
        <w:t xml:space="preserve"> </w:t>
      </w:r>
      <w:r>
        <w:rPr>
          <w:rStyle w:val="Hyperlink"/>
        </w:rPr>
        <w:t xml:space="preserve">https://arxiv.org/abs/2601.11516</w:t>
      </w:r>
    </w:p>
    <w:bookmarkEnd w:id="64"/>
    <w:bookmarkStart w:id="66" w:name="_cea2b5f0d0c06591a749de903cf1a361a676243"/>
    <w:p>
      <w:pPr>
        <w:pStyle w:val="Bibliography"/>
        <w:widowControl/>
        <w:spacing w:line="480" w:lineRule="auto"/>
        <w:ind w:left="720" w:hanging="720"/>
      </w:pPr>
      <w:r>
        <w:rPr>
          <w:rFonts w:ascii="Old Standard TT" w:hAnsi="Old Standard TT"/>
        </w:rPr>
        <w:t xml:space="preserve">Lin, R. Y., Ojha, S., Cai, K., &amp; Chen, M. F. (2025).</w:t>
      </w:r>
      <w:r>
        <w:rPr>
          <w:rFonts w:ascii="Old Standard TT" w:hAnsi="Old Standard TT"/>
        </w:rPr>
        <w:t xml:space="preserve"> </w:t>
      </w:r>
      <w:r>
        <w:rPr>
          <w:rFonts w:ascii="Old Standard TT" w:hAnsi="Old Standard TT"/>
          <w:i/>
          <w:iCs/>
        </w:rPr>
        <w:t xml:space="preserve">Strategic collusion of LLM agents: Market division in multi-commodity competitions</w:t>
      </w:r>
      <w:r>
        <w:rPr>
          <w:rFonts w:ascii="Old Standard TT" w:hAnsi="Old Standard TT"/>
        </w:rPr>
        <w:t xml:space="preserve">. arXiv preprint arXiv:2410.00031.</w:t>
      </w:r>
      <w:r>
        <w:rPr>
          <w:rFonts w:ascii="Old Standard TT" w:hAnsi="Old Standard TT"/>
        </w:rPr>
        <w:t xml:space="preserve"> </w:t>
      </w:r>
      <w:r>
        <w:rPr>
          <w:rStyle w:val="Hyperlink"/>
        </w:rPr>
        <w:t xml:space="preserve">https://arxiv.org/abs/2410.00031</w:t>
      </w:r>
    </w:p>
    <w:bookmarkEnd w:id="66"/>
    <w:bookmarkStart w:id="68" w:name="_1033c962988b67f5d2447b2551b2c397627d8c6"/>
    <w:p>
      <w:pPr>
        <w:pStyle w:val="Bibliography"/>
        <w:widowControl/>
        <w:spacing w:line="480" w:lineRule="auto"/>
        <w:ind w:left="720" w:hanging="720"/>
      </w:pPr>
      <w:r>
        <w:rPr>
          <w:rFonts w:ascii="Old Standard TT" w:hAnsi="Old Standard TT"/>
        </w:rPr>
        <w:t xml:space="preserve">Nakamura, M., Kumar, A., Das, S., Abdelnabi, S., Mahmud, S., Fioretto, F., Zilberstein, S., &amp; Bagdasarian, E. (2026).</w:t>
      </w:r>
      <w:r>
        <w:rPr>
          <w:rFonts w:ascii="Old Standard TT" w:hAnsi="Old Standard TT"/>
        </w:rPr>
        <w:t xml:space="preserve"> </w:t>
      </w:r>
      <w:r>
        <w:rPr>
          <w:rFonts w:ascii="Old Standard TT" w:hAnsi="Old Standard TT"/>
          <w:i/>
          <w:iCs/>
        </w:rPr>
        <w:t xml:space="preserve">Colosseum: Auditing collusion in cooperative multi-agent systems</w:t>
      </w:r>
      <w:r>
        <w:rPr>
          <w:rFonts w:ascii="Old Standard TT" w:hAnsi="Old Standard TT"/>
        </w:rPr>
        <w:t xml:space="preserve">. arXiv preprint arXiv:2602.15198.</w:t>
      </w:r>
      <w:r>
        <w:rPr>
          <w:rFonts w:ascii="Old Standard TT" w:hAnsi="Old Standard TT"/>
        </w:rPr>
        <w:t xml:space="preserve"> </w:t>
      </w:r>
      <w:r>
        <w:rPr>
          <w:rStyle w:val="Hyperlink"/>
        </w:rPr>
        <w:t xml:space="preserve">https://arxiv.org/abs/2602.15198</w:t>
      </w:r>
    </w:p>
    <w:bookmarkEnd w:id="68"/>
    <w:bookmarkStart w:id="70" w:name="_714f2b5fb34cb5179cc69e4dc100120d9fdf6ac"/>
    <w:p>
      <w:pPr>
        <w:pStyle w:val="Bibliography"/>
        <w:widowControl/>
        <w:spacing w:line="480" w:lineRule="auto"/>
        <w:ind w:left="720" w:hanging="720"/>
      </w:pPr>
      <w:r>
        <w:rPr>
          <w:rFonts w:ascii="Old Standard TT" w:hAnsi="Old Standard TT"/>
        </w:rPr>
        <w:t xml:space="preserve">OpenAI. (2025).</w:t>
      </w:r>
      <w:r>
        <w:rPr>
          <w:rFonts w:ascii="Old Standard TT" w:hAnsi="Old Standard TT"/>
        </w:rPr>
        <w:t xml:space="preserve"> </w:t>
      </w:r>
      <w:r>
        <w:rPr>
          <w:rFonts w:ascii="Old Standard TT" w:hAnsi="Old Standard TT"/>
          <w:i/>
          <w:iCs/>
        </w:rPr>
        <w:t xml:space="preserve">Gpt-oss-120b &amp; gpt-oss-20b model card</w:t>
      </w:r>
      <w:r>
        <w:rPr>
          <w:rFonts w:ascii="Old Standard TT" w:hAnsi="Old Standard TT"/>
        </w:rPr>
        <w:t xml:space="preserve">. arXiv preprint arXiv:2508.10925.</w:t>
      </w:r>
      <w:r>
        <w:rPr>
          <w:rFonts w:ascii="Old Standard TT" w:hAnsi="Old Standard TT"/>
        </w:rPr>
        <w:t xml:space="preserve"> </w:t>
      </w:r>
      <w:r>
        <w:rPr>
          <w:rStyle w:val="Hyperlink"/>
        </w:rPr>
        <w:t xml:space="preserve">https://arxiv.org/abs/2508.10925</w:t>
      </w:r>
    </w:p>
    <w:bookmarkEnd w:id="70"/>
    <w:bookmarkStart w:id="72" w:name="_ed138aedb2db9665401a106a75b988cbf15a0ac"/>
    <w:p>
      <w:pPr>
        <w:pStyle w:val="Bibliography"/>
        <w:widowControl/>
        <w:spacing w:line="480" w:lineRule="auto"/>
        <w:ind w:left="720" w:hanging="720"/>
      </w:pPr>
      <w:r>
        <w:rPr>
          <w:rFonts w:ascii="Old Standard TT" w:hAnsi="Old Standard TT"/>
        </w:rPr>
        <w:t xml:space="preserve">OpenAI. (2026a).</w:t>
      </w:r>
      <w:r>
        <w:rPr>
          <w:rFonts w:ascii="Old Standard TT" w:hAnsi="Old Standard TT"/>
        </w:rPr>
        <w:t xml:space="preserve"> </w:t>
      </w:r>
      <w:r>
        <w:rPr>
          <w:rFonts w:ascii="Old Standard TT" w:hAnsi="Old Standard TT"/>
          <w:i/>
          <w:iCs/>
        </w:rPr>
        <w:t xml:space="preserve">GPT-6</w:t>
      </w:r>
      <w:r>
        <w:rPr>
          <w:rFonts w:ascii="Old Standard TT" w:hAnsi="Old Standard TT"/>
          <w:i/>
          <w:iCs/>
        </w:rPr>
        <w:t xml:space="preserve"> </w:t>
      </w:r>
      <w:r>
        <w:rPr>
          <w:rFonts w:ascii="Old Standard TT" w:hAnsi="Old Standard TT"/>
          <w:i/>
          <w:iCs/>
        </w:rPr>
        <w:t xml:space="preserve">Luna</w:t>
      </w:r>
      <w:r>
        <w:rPr>
          <w:rFonts w:ascii="Old Standard TT" w:hAnsi="Old Standard TT"/>
          <w:i/>
          <w:iCs/>
        </w:rPr>
        <w:t xml:space="preserve"> </w:t>
      </w:r>
      <w:r>
        <w:rPr>
          <w:rFonts w:ascii="Old Standard TT" w:hAnsi="Old Standard TT"/>
          <w:i/>
          <w:iCs/>
        </w:rPr>
        <w:t xml:space="preserve">decisions</w:t>
      </w:r>
      <w:r>
        <w:rPr>
          <w:rFonts w:ascii="Old Standard TT" w:hAnsi="Old Standard TT"/>
        </w:rPr>
        <w:t xml:space="preserve">. Model listing, OpenRouter.</w:t>
      </w:r>
      <w:r>
        <w:rPr>
          <w:rFonts w:ascii="Old Standard TT" w:hAnsi="Old Standard TT"/>
        </w:rPr>
        <w:t xml:space="preserve"> </w:t>
      </w:r>
      <w:r>
        <w:rPr>
          <w:rStyle w:val="Hyperlink"/>
        </w:rPr>
        <w:t xml:space="preserve">https://openrouter.ai/openai/gpt-6-luna-decisions</w:t>
      </w:r>
    </w:p>
    <w:bookmarkEnd w:id="72"/>
    <w:bookmarkStart w:id="74" w:name="_2b9881563edeefd5e076b98164e1604593477f6"/>
    <w:p>
      <w:pPr>
        <w:pStyle w:val="Bibliography"/>
        <w:widowControl/>
        <w:spacing w:line="480" w:lineRule="auto"/>
        <w:ind w:left="720" w:hanging="720"/>
      </w:pPr>
      <w:r>
        <w:rPr>
          <w:rFonts w:ascii="Old Standard TT" w:hAnsi="Old Standard TT"/>
        </w:rPr>
        <w:t xml:space="preserve">OpenAI. (2026b).</w:t>
      </w:r>
      <w:r>
        <w:rPr>
          <w:rFonts w:ascii="Old Standard TT" w:hAnsi="Old Standard TT"/>
        </w:rPr>
        <w:t xml:space="preserve"> </w:t>
      </w:r>
      <w:r>
        <w:rPr>
          <w:rFonts w:ascii="Old Standard TT" w:hAnsi="Old Standard TT"/>
          <w:i/>
          <w:iCs/>
        </w:rPr>
        <w:t xml:space="preserve">The</w:t>
      </w:r>
      <w:r>
        <w:rPr>
          <w:rFonts w:ascii="Old Standard TT" w:hAnsi="Old Standard TT"/>
          <w:i/>
          <w:iCs/>
        </w:rPr>
        <w:t xml:space="preserve"> </w:t>
      </w:r>
      <w:r>
        <w:rPr>
          <w:rFonts w:ascii="Old Standard TT" w:hAnsi="Old Standard TT"/>
          <w:i/>
          <w:iCs/>
        </w:rPr>
        <w:t xml:space="preserve">Hugging Face</w:t>
      </w:r>
      <w:r>
        <w:rPr>
          <w:rFonts w:ascii="Old Standard TT" w:hAnsi="Old Standard TT"/>
          <w:i/>
          <w:iCs/>
        </w:rPr>
        <w:t xml:space="preserve"> </w:t>
      </w:r>
      <w:r>
        <w:rPr>
          <w:rFonts w:ascii="Old Standard TT" w:hAnsi="Old Standard TT"/>
          <w:i/>
          <w:iCs/>
        </w:rPr>
        <w:t xml:space="preserve">incident and the road ahead</w:t>
      </w:r>
      <w:r>
        <w:rPr>
          <w:rFonts w:ascii="Old Standard TT" w:hAnsi="Old Standard TT"/>
        </w:rPr>
        <w:t xml:space="preserve">.</w:t>
      </w:r>
      <w:r>
        <w:rPr>
          <w:rFonts w:ascii="Old Standard TT" w:hAnsi="Old Standard TT"/>
        </w:rPr>
        <w:t xml:space="preserve"> </w:t>
      </w:r>
      <w:r>
        <w:rPr>
          <w:rStyle w:val="Hyperlink"/>
        </w:rPr>
        <w:t xml:space="preserve">https://openai.com/index/hugging-face-incident-and-the-road-ahead/</w:t>
      </w:r>
      <w:r>
        <w:rPr>
          <w:rFonts w:ascii="Old Standard TT" w:hAnsi="Old Standard TT"/>
        </w:rPr>
        <w:t xml:space="preserve">.</w:t>
      </w:r>
    </w:p>
    <w:bookmarkEnd w:id="74"/>
    <w:bookmarkStart w:id="76" w:name="_c790e8fc97b9df914860edb040bb1bd85396aeb"/>
    <w:p>
      <w:pPr>
        <w:pStyle w:val="Bibliography"/>
        <w:widowControl/>
        <w:spacing w:line="480" w:lineRule="auto"/>
        <w:ind w:left="720" w:hanging="720"/>
      </w:pPr>
      <w:r>
        <w:rPr>
          <w:rFonts w:ascii="Old Standard TT" w:hAnsi="Old Standard TT"/>
        </w:rPr>
        <w:t xml:space="preserve">Radev, N., Haas, L., Arnav, B., &amp; Bernabeu-Pérez, P. (2026).</w:t>
      </w:r>
      <w:r>
        <w:rPr>
          <w:rFonts w:ascii="Old Standard TT" w:hAnsi="Old Standard TT"/>
        </w:rPr>
        <w:t xml:space="preserve"> </w:t>
      </w:r>
      <w:r>
        <w:rPr>
          <w:rFonts w:ascii="Old Standard TT" w:hAnsi="Old Standard TT"/>
          <w:i/>
          <w:iCs/>
        </w:rPr>
        <w:t xml:space="preserve">The best-laid SCHEMEs: Coordinated sabotage and monitoring in multi-agent systems</w:t>
      </w:r>
      <w:r>
        <w:rPr>
          <w:rFonts w:ascii="Old Standard TT" w:hAnsi="Old Standard TT"/>
        </w:rPr>
        <w:t xml:space="preserve">. arXiv preprint arXiv:2605.29178.</w:t>
      </w:r>
      <w:r>
        <w:rPr>
          <w:rFonts w:ascii="Old Standard TT" w:hAnsi="Old Standard TT"/>
        </w:rPr>
        <w:t xml:space="preserve"> </w:t>
      </w:r>
      <w:r>
        <w:rPr>
          <w:rStyle w:val="Hyperlink"/>
        </w:rPr>
        <w:t xml:space="preserve">https://arxiv.org/abs/2605.29178</w:t>
      </w:r>
    </w:p>
    <w:bookmarkEnd w:id="76"/>
    <w:bookmarkStart w:id="78" w:name="_ad1965f55def18c028f5182c6c207cee874bc12"/>
    <w:p>
      <w:pPr>
        <w:pStyle w:val="Bibliography"/>
        <w:widowControl/>
        <w:spacing w:line="480" w:lineRule="auto"/>
        <w:ind w:left="720" w:hanging="720"/>
      </w:pPr>
      <w:r>
        <w:rPr>
          <w:rFonts w:ascii="Old Standard TT" w:hAnsi="Old Standard TT"/>
        </w:rPr>
        <w:t xml:space="preserve">Rose, A., Cullen, C., Abdelnabi, S., Torr, P., Kaplowitz, B. G., &amp; Witt, C. S. de. (2026).</w:t>
      </w:r>
      <w:r>
        <w:rPr>
          <w:rFonts w:ascii="Old Standard TT" w:hAnsi="Old Standard TT"/>
        </w:rPr>
        <w:t xml:space="preserve"> </w:t>
      </w:r>
      <w:r>
        <w:rPr>
          <w:rFonts w:ascii="Old Standard TT" w:hAnsi="Old Standard TT"/>
          <w:i/>
          <w:iCs/>
        </w:rPr>
        <w:t xml:space="preserve">Detecting multi-agent collusion through multi-agent interpretability</w:t>
      </w:r>
      <w:r>
        <w:rPr>
          <w:rFonts w:ascii="Old Standard TT" w:hAnsi="Old Standard TT"/>
        </w:rPr>
        <w:t xml:space="preserve">. arXiv preprint arXiv:2604.01151.</w:t>
      </w:r>
      <w:r>
        <w:rPr>
          <w:rFonts w:ascii="Old Standard TT" w:hAnsi="Old Standard TT"/>
        </w:rPr>
        <w:t xml:space="preserve"> </w:t>
      </w:r>
      <w:r>
        <w:rPr>
          <w:rStyle w:val="Hyperlink"/>
        </w:rPr>
        <w:t xml:space="preserve">https://arxiv.org/abs/2604.01151</w:t>
      </w:r>
    </w:p>
    <w:bookmarkEnd w:id="78"/>
    <w:bookmarkStart w:id="80" w:name="_61103c668f083688f3c54ee1eb09dd3163385bd"/>
    <w:p>
      <w:pPr>
        <w:pStyle w:val="Bibliography"/>
        <w:widowControl/>
        <w:spacing w:line="480" w:lineRule="auto"/>
        <w:ind w:left="720" w:hanging="720"/>
      </w:pPr>
      <w:r>
        <w:rPr>
          <w:rFonts w:ascii="Old Standard TT" w:hAnsi="Old Standard TT"/>
        </w:rPr>
        <w:t xml:space="preserve">Ruan, K., Huang, Z., Zhou, Z., Wei, Q., Lin, J., Wang, X., &amp; Sun, H. (2026).</w:t>
      </w:r>
      <w:r>
        <w:rPr>
          <w:rFonts w:ascii="Old Standard TT" w:hAnsi="Old Standard TT"/>
        </w:rPr>
        <w:t xml:space="preserve"> </w:t>
      </w:r>
      <w:r>
        <w:rPr>
          <w:rFonts w:ascii="Old Standard TT" w:hAnsi="Old Standard TT"/>
          <w:i/>
          <w:iCs/>
        </w:rPr>
        <w:t xml:space="preserve">Doomed from the start: Early abort of LLM agent episodes via a recall-controlled probe cascade</w:t>
      </w:r>
      <w:r>
        <w:rPr>
          <w:rFonts w:ascii="Old Standard TT" w:hAnsi="Old Standard TT"/>
        </w:rPr>
        <w:t xml:space="preserve">. arXiv preprint arXiv:2607.06503.</w:t>
      </w:r>
      <w:r>
        <w:rPr>
          <w:rFonts w:ascii="Old Standard TT" w:hAnsi="Old Standard TT"/>
        </w:rPr>
        <w:t xml:space="preserve"> </w:t>
      </w:r>
      <w:r>
        <w:rPr>
          <w:rStyle w:val="Hyperlink"/>
        </w:rPr>
        <w:t xml:space="preserve">https://arxiv.org/abs/2607.06503</w:t>
      </w:r>
    </w:p>
    <w:bookmarkEnd w:id="80"/>
    <w:bookmarkStart w:id="82" w:name="_0d43a2f35bbeb71388d801d6554ae38fb4a01a6"/>
    <w:p>
      <w:pPr>
        <w:pStyle w:val="Bibliography"/>
        <w:widowControl/>
        <w:spacing w:line="480" w:lineRule="auto"/>
        <w:ind w:left="720" w:hanging="720"/>
      </w:pPr>
      <w:r>
        <w:rPr>
          <w:rFonts w:ascii="Old Standard TT" w:hAnsi="Old Standard TT"/>
        </w:rPr>
        <w:t xml:space="preserve">Shi, J., Zhang, T. J., Schölkopf, B., Conitzer, V., &amp; Jin, Z. (2026).</w:t>
      </w:r>
      <w:r>
        <w:rPr>
          <w:rFonts w:ascii="Old Standard TT" w:hAnsi="Old Standard TT"/>
        </w:rPr>
        <w:t xml:space="preserve"> </w:t>
      </w:r>
      <w:r>
        <w:rPr>
          <w:rFonts w:ascii="Old Standard TT" w:hAnsi="Old Standard TT"/>
          <w:i/>
          <w:iCs/>
        </w:rPr>
        <w:t xml:space="preserve">When agents lie: Premeditation, persistence, and exploitation in repeated games</w:t>
      </w:r>
      <w:r>
        <w:rPr>
          <w:rFonts w:ascii="Old Standard TT" w:hAnsi="Old Standard TT"/>
        </w:rPr>
        <w:t xml:space="preserve">. arXiv preprint arXiv:2607.05132.</w:t>
      </w:r>
      <w:r>
        <w:rPr>
          <w:rFonts w:ascii="Old Standard TT" w:hAnsi="Old Standard TT"/>
        </w:rPr>
        <w:t xml:space="preserve"> </w:t>
      </w:r>
      <w:r>
        <w:rPr>
          <w:rStyle w:val="Hyperlink"/>
        </w:rPr>
        <w:t xml:space="preserve">https://arxiv.org/abs/2607.05132</w:t>
      </w:r>
    </w:p>
    <w:bookmarkEnd w:id="82"/>
    <w:bookmarkStart w:id="84" w:name="_8a3b84659ee69c5964dcee9d1806f951701b3e2"/>
    <w:p>
      <w:pPr>
        <w:pStyle w:val="Bibliography"/>
        <w:widowControl/>
        <w:spacing w:line="480" w:lineRule="auto"/>
        <w:ind w:left="720" w:hanging="720"/>
      </w:pPr>
      <w:r>
        <w:rPr>
          <w:rFonts w:ascii="Old Standard TT" w:hAnsi="Old Standard TT"/>
        </w:rPr>
        <w:t xml:space="preserve">Tang, L., Wei, K., Jiang, T., &amp; Huang, R. (2026).</w:t>
      </w:r>
      <w:r>
        <w:rPr>
          <w:rFonts w:ascii="Old Standard TT" w:hAnsi="Old Standard TT"/>
        </w:rPr>
        <w:t xml:space="preserve"> </w:t>
      </w:r>
      <w:r>
        <w:rPr>
          <w:rFonts w:ascii="Old Standard TT" w:hAnsi="Old Standard TT"/>
          <w:i/>
          <w:iCs/>
        </w:rPr>
        <w:t xml:space="preserve">SPINE: Measuring LLM sycophancy under sustained multi-turn pressure</w:t>
      </w:r>
      <w:r>
        <w:rPr>
          <w:rFonts w:ascii="Old Standard TT" w:hAnsi="Old Standard TT"/>
        </w:rPr>
        <w:t xml:space="preserve">. arXiv preprint arXiv:2609.09090.</w:t>
      </w:r>
      <w:r>
        <w:rPr>
          <w:rFonts w:ascii="Old Standard TT" w:hAnsi="Old Standard TT"/>
        </w:rPr>
        <w:t xml:space="preserve"> </w:t>
      </w:r>
      <w:r>
        <w:rPr>
          <w:rStyle w:val="Hyperlink"/>
        </w:rPr>
        <w:t xml:space="preserve">https://arxiv.org/abs/2609.09090</w:t>
      </w:r>
    </w:p>
    <w:bookmarkEnd w:id="84"/>
    <w:bookmarkStart w:id="86" w:name="_d3d9918a15a4176aba1ff2d16ca1258b90cf2cc"/>
    <w:p>
      <w:pPr>
        <w:pStyle w:val="Bibliography"/>
        <w:widowControl/>
        <w:spacing w:line="480" w:lineRule="auto"/>
        <w:ind w:left="720" w:hanging="720"/>
      </w:pPr>
      <w:r>
        <w:rPr>
          <w:rFonts w:ascii="Old Standard TT" w:hAnsi="Old Standard TT"/>
        </w:rPr>
        <w:t xml:space="preserve">Tao, Y., Zheng, X., Yang, S., Tao, M., &amp; Wang, X. (2026).</w:t>
      </w:r>
      <w:r>
        <w:rPr>
          <w:rFonts w:ascii="Old Standard TT" w:hAnsi="Old Standard TT"/>
        </w:rPr>
        <w:t xml:space="preserve"> </w:t>
      </w:r>
      <w:r>
        <w:rPr>
          <w:rFonts w:ascii="Old Standard TT" w:hAnsi="Old Standard TT"/>
          <w:i/>
          <w:iCs/>
        </w:rPr>
        <w:t xml:space="preserve">GroupGuard: A framework for modeling and defending collusive attacks in multi-agent systems</w:t>
      </w:r>
      <w:r>
        <w:rPr>
          <w:rFonts w:ascii="Old Standard TT" w:hAnsi="Old Standard TT"/>
        </w:rPr>
        <w:t xml:space="preserve">. arXiv preprint arXiv:2603.13940.</w:t>
      </w:r>
      <w:r>
        <w:rPr>
          <w:rFonts w:ascii="Old Standard TT" w:hAnsi="Old Standard TT"/>
        </w:rPr>
        <w:t xml:space="preserve"> </w:t>
      </w:r>
      <w:r>
        <w:rPr>
          <w:rStyle w:val="Hyperlink"/>
        </w:rPr>
        <w:t xml:space="preserve">https://arxiv.org/abs/2603.13940</w:t>
      </w:r>
    </w:p>
    <w:bookmarkEnd w:id="86"/>
    <w:bookmarkStart w:id="88" w:name="_9f9b58afae427e84c24a5a1f2869c78e177f843"/>
    <w:p>
      <w:pPr>
        <w:pStyle w:val="Bibliography"/>
        <w:widowControl/>
        <w:spacing w:line="480" w:lineRule="auto"/>
        <w:ind w:left="720" w:hanging="720"/>
      </w:pPr>
      <w:r>
        <w:rPr>
          <w:rFonts w:ascii="Old Standard TT" w:hAnsi="Old Standard TT"/>
        </w:rPr>
        <w:t xml:space="preserve">TypeSafe AI. (2026).</w:t>
      </w:r>
      <w:r>
        <w:rPr>
          <w:rFonts w:ascii="Old Standard TT" w:hAnsi="Old Standard TT"/>
        </w:rPr>
        <w:t xml:space="preserve"> </w:t>
      </w:r>
      <w:r>
        <w:rPr>
          <w:rFonts w:ascii="Old Standard TT" w:hAnsi="Old Standard TT"/>
          <w:i/>
          <w:iCs/>
        </w:rPr>
        <w:t xml:space="preserve">Introducing system one models &amp;</w:t>
      </w:r>
      <w:r>
        <w:rPr>
          <w:rFonts w:ascii="Old Standard TT" w:hAnsi="Old Standard TT"/>
          <w:i/>
          <w:iCs/>
        </w:rPr>
        <w:t xml:space="preserve"> </w:t>
      </w:r>
      <w:r>
        <w:rPr>
          <w:rFonts w:ascii="Old Standard TT" w:hAnsi="Old Standard TT"/>
          <w:i/>
          <w:iCs/>
        </w:rPr>
        <w:t xml:space="preserve">Jev</w:t>
      </w:r>
      <w:r>
        <w:rPr>
          <w:rFonts w:ascii="Old Standard TT" w:hAnsi="Old Standard TT"/>
        </w:rPr>
        <w:t xml:space="preserve">. TypeSafe AI blog.</w:t>
      </w:r>
      <w:r>
        <w:rPr>
          <w:rFonts w:ascii="Old Standard TT" w:hAnsi="Old Standard TT"/>
        </w:rPr>
        <w:t xml:space="preserve"> </w:t>
      </w:r>
      <w:r>
        <w:rPr>
          <w:rStyle w:val="Hyperlink"/>
        </w:rPr>
        <w:t xml:space="preserve">https://typesafe.ai/blog/introducing-system-one-models-and-jev</w:t>
      </w:r>
    </w:p>
    <w:bookmarkEnd w:id="88"/>
    <w:bookmarkStart w:id="90" w:name="_ab6e00e13ab70d4fba31f850a7032f3f1b44ba0"/>
    <w:p>
      <w:pPr>
        <w:pStyle w:val="Bibliography"/>
        <w:widowControl/>
        <w:spacing w:line="480" w:lineRule="auto"/>
        <w:ind w:left="720" w:hanging="720"/>
      </w:pPr>
      <w:r>
        <w:rPr>
          <w:rFonts w:ascii="Old Standard TT" w:hAnsi="Old Standard TT"/>
        </w:rPr>
        <w:t xml:space="preserve">UK AI Security Institute. (2026).</w:t>
      </w:r>
      <w:r>
        <w:rPr>
          <w:rFonts w:ascii="Old Standard TT" w:hAnsi="Old Standard TT"/>
        </w:rPr>
        <w:t xml:space="preserve"> </w:t>
      </w:r>
      <w:r>
        <w:rPr>
          <w:rFonts w:ascii="Old Standard TT" w:hAnsi="Old Standard TT"/>
          <w:i/>
          <w:iCs/>
        </w:rPr>
        <w:t xml:space="preserve">ControlArena</w:t>
      </w:r>
      <w:r>
        <w:rPr>
          <w:rFonts w:ascii="Old Standard TT" w:hAnsi="Old Standard TT"/>
          <w:i/>
          <w:iCs/>
        </w:rPr>
        <w:t xml:space="preserve">: A collection of settings, model organisms and protocols for</w:t>
      </w:r>
      <w:r>
        <w:rPr>
          <w:rFonts w:ascii="Old Standard TT" w:hAnsi="Old Standard TT"/>
          <w:i/>
          <w:iCs/>
        </w:rPr>
        <w:t xml:space="preserve"> </w:t>
      </w:r>
      <w:r>
        <w:rPr>
          <w:rFonts w:ascii="Old Standard TT" w:hAnsi="Old Standard TT"/>
          <w:i/>
          <w:iCs/>
        </w:rPr>
        <w:t xml:space="preserve">AI</w:t>
      </w:r>
      <w:r>
        <w:rPr>
          <w:rFonts w:ascii="Old Standard TT" w:hAnsi="Old Standard TT"/>
          <w:i/>
          <w:iCs/>
        </w:rPr>
        <w:t xml:space="preserve"> </w:t>
      </w:r>
      <w:r>
        <w:rPr>
          <w:rFonts w:ascii="Old Standard TT" w:hAnsi="Old Standard TT"/>
          <w:i/>
          <w:iCs/>
        </w:rPr>
        <w:t xml:space="preserve">control experiments</w:t>
      </w:r>
      <w:r>
        <w:rPr>
          <w:rFonts w:ascii="Old Standard TT" w:hAnsi="Old Standard TT"/>
        </w:rPr>
        <w:t xml:space="preserve">. GitHub repository.</w:t>
      </w:r>
      <w:r>
        <w:rPr>
          <w:rFonts w:ascii="Old Standard TT" w:hAnsi="Old Standard TT"/>
        </w:rPr>
        <w:t xml:space="preserve"> </w:t>
      </w:r>
      <w:r>
        <w:rPr>
          <w:rStyle w:val="Hyperlink"/>
        </w:rPr>
        <w:t xml:space="preserve">https://github.com/UKGovernmentBEIS/control-arena</w:t>
      </w:r>
    </w:p>
    <w:bookmarkEnd w:id="90"/>
    <w:bookmarkStart w:id="92" w:name="_d7dca2c6c0903617960e7feabdf5883dd735eb5"/>
    <w:p>
      <w:pPr>
        <w:pStyle w:val="Bibliography"/>
        <w:widowControl/>
        <w:spacing w:line="480" w:lineRule="auto"/>
        <w:ind w:left="720" w:hanging="720"/>
      </w:pPr>
      <w:r>
        <w:rPr>
          <w:rFonts w:ascii="Old Standard TT" w:hAnsi="Old Standard TT"/>
        </w:rPr>
        <w:t xml:space="preserve">Yang, A., Li, A., Yang, B., Zhang, B., Hui, B., Zheng, B., Yu, B., Gao, C., Huang, C., Lv, C., Zheng, C., Liu, D., Zhou, F., Huang, F., Hu, F., Ge, H., Wei, H., Lin, H., Tang, J., … Qiu, Z. (2025).</w:t>
      </w:r>
      <w:r>
        <w:rPr>
          <w:rFonts w:ascii="Old Standard TT" w:hAnsi="Old Standard TT"/>
        </w:rPr>
        <w:t xml:space="preserve"> </w:t>
      </w:r>
      <w:r>
        <w:rPr>
          <w:rFonts w:ascii="Old Standard TT" w:hAnsi="Old Standard TT"/>
          <w:i/>
          <w:iCs/>
        </w:rPr>
        <w:t xml:space="preserve">Qwen3 technical report</w:t>
      </w:r>
      <w:r>
        <w:rPr>
          <w:rFonts w:ascii="Old Standard TT" w:hAnsi="Old Standard TT"/>
        </w:rPr>
        <w:t xml:space="preserve">. arXiv preprint arXiv:2505.09388.</w:t>
      </w:r>
      <w:r>
        <w:rPr>
          <w:rFonts w:ascii="Old Standard TT" w:hAnsi="Old Standard TT"/>
        </w:rPr>
        <w:t xml:space="preserve"> </w:t>
      </w:r>
      <w:r>
        <w:rPr>
          <w:rStyle w:val="Hyperlink"/>
        </w:rPr>
        <w:t xml:space="preserve">https://arxiv.org/abs/2505.09388</w:t>
      </w:r>
    </w:p>
    <w:bookmarkEnd w:id="92"/>
    <w:bookmarkStart w:id="94" w:name="_c73e47562f73ff5675c1a19849fd26890a33ca3"/>
    <w:p>
      <w:pPr>
        <w:pStyle w:val="Bibliography"/>
        <w:widowControl/>
        <w:spacing w:line="480" w:lineRule="auto"/>
        <w:ind w:left="720" w:hanging="720"/>
      </w:pPr>
      <w:r>
        <w:rPr>
          <w:rFonts w:ascii="Old Standard TT" w:hAnsi="Old Standard TT"/>
        </w:rPr>
        <w:t xml:space="preserve">Yu, Z., Xing, W., Yang, X., &amp; Han, M. (2026).</w:t>
      </w:r>
      <w:r>
        <w:rPr>
          <w:rFonts w:ascii="Old Standard TT" w:hAnsi="Old Standard TT"/>
        </w:rPr>
        <w:t xml:space="preserve"> </w:t>
      </w:r>
      <w:r>
        <w:rPr>
          <w:rFonts w:ascii="Old Standard TT" w:hAnsi="Old Standard TT"/>
          <w:i/>
          <w:iCs/>
        </w:rPr>
        <w:t xml:space="preserve">Readable before actionable: Causal tracing of indirect prompt injection</w:t>
      </w:r>
      <w:r>
        <w:rPr>
          <w:rFonts w:ascii="Old Standard TT" w:hAnsi="Old Standard TT"/>
        </w:rPr>
        <w:t xml:space="preserve">. arXiv preprint arXiv:2610.05295.</w:t>
      </w:r>
      <w:r>
        <w:rPr>
          <w:rFonts w:ascii="Old Standard TT" w:hAnsi="Old Standard TT"/>
        </w:rPr>
        <w:t xml:space="preserve"> </w:t>
      </w:r>
      <w:r>
        <w:rPr>
          <w:rStyle w:val="Hyperlink"/>
        </w:rPr>
        <w:t xml:space="preserve">https://arxiv.org/abs/2610.05295</w:t>
      </w:r>
    </w:p>
    <w:bookmarkEnd w:id="94"/>
    <w:bookmarkStart w:id="96" w:name="_5d1ac06277e56505ad7c701549cd22c2431d457"/>
    <w:p>
      <w:pPr>
        <w:pStyle w:val="Bibliography"/>
        <w:widowControl/>
        <w:spacing w:line="480" w:lineRule="auto"/>
        <w:ind w:left="720" w:hanging="720"/>
      </w:pPr>
      <w:r>
        <w:rPr>
          <w:rFonts w:ascii="Old Standard TT" w:hAnsi="Old Standard TT"/>
        </w:rPr>
        <w:t xml:space="preserve">Zeng, X., &amp; Rudzicz, F. (2026).</w:t>
      </w:r>
      <w:r>
        <w:rPr>
          <w:rFonts w:ascii="Old Standard TT" w:hAnsi="Old Standard TT"/>
        </w:rPr>
        <w:t xml:space="preserve"> </w:t>
      </w:r>
      <w:r>
        <w:rPr>
          <w:rFonts w:ascii="Old Standard TT" w:hAnsi="Old Standard TT"/>
          <w:i/>
          <w:iCs/>
        </w:rPr>
        <w:t xml:space="preserve">Voluntary collusion with secret tools in competing LLM agents</w:t>
      </w:r>
      <w:r>
        <w:rPr>
          <w:rFonts w:ascii="Old Standard TT" w:hAnsi="Old Standard TT"/>
        </w:rPr>
        <w:t xml:space="preserve">. arXiv preprint arXiv:2605.27593.</w:t>
      </w:r>
      <w:r>
        <w:rPr>
          <w:rFonts w:ascii="Old Standard TT" w:hAnsi="Old Standard TT"/>
        </w:rPr>
        <w:t xml:space="preserve"> </w:t>
      </w:r>
      <w:r>
        <w:rPr>
          <w:rStyle w:val="Hyperlink"/>
        </w:rPr>
        <w:t xml:space="preserve">https://arxiv.org/abs/2605.27593</w:t>
      </w:r>
    </w:p>
    <w:bookmarkEnd w:id="96"/>
    <w:bookmarkEnd w:id="97"/>
    <w:p>
      <w:pPr>
        <w:pStyle w:val="Heading2"/>
        <w:keepNext/>
        <w:pageBreakBefore/>
        <w:widowControl/>
        <w:spacing w:before="200"/>
      </w:pPr>
      <w:bookmarkStart w:id="98" w:name="_appendix"/>
      <w:r>
        <w:rPr>
          <w:rFonts w:ascii="Old Standard TT" w:hAnsi="Old Standard TT"/>
        </w:rPr>
        <w:t xml:space="preserve">Appendix</w:t>
      </w:r>
      <w:bookmarkEnd w:id="98"/>
    </w:p>
    <w:p>
      <w:pPr>
        <w:pStyle w:val="Heading3"/>
        <w:keepNext/>
        <w:widowControl/>
        <w:spacing w:before="200"/>
      </w:pPr>
      <w:bookmarkStart w:id="99" w:name="_6ce2e643d14f9ddfea0cdf71291259f99a1ab1b"/>
      <w:r>
        <w:rPr>
          <w:rFonts w:ascii="Old Standard TT" w:hAnsi="Old Standard TT"/>
        </w:rPr>
        <w:t xml:space="preserve">A. Limitations and Dual-Use / Ethical Considerations</w:t>
      </w:r>
      <w:r>
        <w:rPr>
          <w:rFonts w:ascii="Old Standard TT" w:hAnsi="Old Standard TT"/>
        </w:rPr>
        <w:t xml:space="preserve"> </w:t>
      </w:r>
      <w:r>
        <w:rPr>
          <w:rFonts w:ascii="Old Standard TT" w:hAnsi="Old Standard TT"/>
          <w:i/>
          <w:iCs/>
        </w:rPr>
        <w:t xml:space="preserve">(required)</w:t>
      </w:r>
      <w:bookmarkEnd w:id="99"/>
    </w:p>
    <w:p>
      <w:pPr>
        <w:pStyle w:val="FirstParagraph"/>
        <w:widowControl/>
      </w:pPr>
      <w:r>
        <w:rPr>
          <w:rFonts w:ascii="Old Standard TT" w:hAnsi="Old Standard TT"/>
          <w:i/>
          <w:iCs/>
        </w:rPr>
        <w:t xml:space="preserve">What do these results not establish, and is it safe to publish what we release?</w:t>
      </w:r>
    </w:p>
    <w:p>
      <w:pPr>
        <w:pStyle w:val="BodyText"/>
        <w:widowControl/>
      </w:pPr>
      <w:r>
        <w:rPr>
          <w:rFonts w:ascii="Old Standard TT" w:hAnsi="Old Standard TT"/>
          <w:b/>
          <w:bCs/>
        </w:rPr>
        <w:t xml:space="preserve">[TODO]</w:t>
      </w:r>
      <w:r>
        <w:rPr>
          <w:rFonts w:ascii="Old Standard TT" w:hAnsi="Old Standard TT"/>
        </w:rPr>
        <w:t xml:space="preserve"> </w:t>
      </w:r>
      <w:r>
        <w:rPr>
          <w:rFonts w:ascii="Old Standard TT" w:hAnsi="Old Standard TT"/>
        </w:rPr>
        <w:t xml:space="preserve">Full limitations list, ordered by how much each could change a headline; dual-use statement (all tools mocked, no real credentials; what could make collusion easier; what we publish and hold back; the defensive recommendation; detection-side considerations). Decision on file: publish all prompts and transcripts, with the reasoning here (</w:t>
      </w:r>
      <w:r>
        <w:rPr>
          <w:rStyle w:val="VerbatimChar"/>
          <w:rFonts w:ascii="Old Standard TT" w:hAnsi="Old Standard TT"/>
        </w:rPr>
        <w:t xml:space="preserve">docs/report_plan_outline.md</w:t>
      </w:r>
      <w:r>
        <w:rPr>
          <w:rFonts w:ascii="Old Standard TT" w:hAnsi="Old Standard TT"/>
        </w:rPr>
        <w:t xml:space="preserve"> </w:t>
      </w:r>
      <w:r>
        <w:rPr>
          <w:rFonts w:ascii="Old Standard TT" w:hAnsi="Old Standard TT"/>
        </w:rPr>
        <w:t xml:space="preserve">§5).</w:t>
      </w:r>
    </w:p>
    <w:p>
      <w:pPr>
        <w:pStyle w:val="BodyText"/>
        <w:widowControl/>
      </w:pPr>
      <w:r>
        <w:rPr>
          <w:rFonts w:ascii="Old Standard TT" w:hAnsi="Old Standard TT"/>
          <w:b/>
          <w:bCs/>
        </w:rPr>
        <w:t xml:space="preserve">Scope (moved from the introduction):</w:t>
      </w:r>
      <w:r>
        <w:rPr>
          <w:rFonts w:ascii="Old Standard TT" w:hAnsi="Old Standard TT"/>
        </w:rPr>
        <w:t xml:space="preserve"> </w:t>
      </w:r>
      <w:r>
        <w:rPr>
          <w:rFonts w:ascii="Old Standard TT" w:hAnsi="Old Standard TT"/>
        </w:rPr>
        <w:t xml:space="preserve">we study the explicit recruitment route, the first step of collusion, not sustained joint scheming or hidden channels. Tacit collusion, where agents coordinate with no request at all, is out of scope: LLM pricing agents reach supracompetitive prices on their own</w:t>
      </w:r>
      <w:r>
        <w:rPr>
          <w:rFonts w:ascii="Old Standard TT" w:hAnsi="Old Standard TT"/>
        </w:rPr>
        <w:t xml:space="preserve"> </w:t>
      </w:r>
      <w:r>
        <w:rPr>
          <w:rFonts w:ascii="Old Standard TT" w:hAnsi="Old Standard TT"/>
        </w:rPr>
        <w:t xml:space="preserve">(Fish et al., 2026; Lin et al., 2025)</w:t>
      </w:r>
      <w:r>
        <w:rPr>
          <w:rFonts w:ascii="Old Standard TT" w:hAnsi="Old Standard TT"/>
        </w:rPr>
        <w:t xml:space="preserve">. In the main setup the target gains nothing itself, which is closer to insider recruitment than to a mutual deal.</w:t>
      </w:r>
    </w:p>
    <w:p>
      <w:pPr>
        <w:pStyle w:val="BodyText"/>
        <w:widowControl/>
      </w:pPr>
      <w:r>
        <w:rPr>
          <w:rFonts w:ascii="Old Standard TT" w:hAnsi="Old Standard TT"/>
          <w:b/>
          <w:bCs/>
        </w:rPr>
        <w:t xml:space="preserve">Absorbed caveats:</w:t>
      </w:r>
      <w:r>
        <w:rPr>
          <w:rFonts w:ascii="Old Standard TT" w:hAnsi="Old Standard TT"/>
        </w:rPr>
        <w:t xml:space="preserve"> </w:t>
      </w:r>
      <w:r>
        <w:rPr>
          <w:rFonts w:ascii="Old Standard TT" w:hAnsi="Old Standard TT"/>
        </w:rPr>
        <w:t xml:space="preserve">the near-term alarm uses a single LLM judge (GPT-5-nano), and the monitor score is anchored only at its ends rather than on a banded rubric. The eligible window has a cost: a give-in that leaks on the call right after the read leaves no scored step, and a held episode that never reads the value is dropped. If the gpt-oss replay does not reproduce the provider’s rendering, we report no gpt-oss probe results and note that here as a limitation.</w:t>
      </w:r>
    </w:p>
    <w:p>
      <w:pPr>
        <w:pStyle w:val="Heading3"/>
        <w:keepNext/>
        <w:widowControl/>
        <w:spacing w:before="200"/>
      </w:pPr>
      <w:bookmarkStart w:id="100" w:name="_1c2832545d6be5937b2db194f5b1e2f4105b9d9"/>
      <w:r>
        <w:rPr>
          <w:rFonts w:ascii="Old Standard TT" w:hAnsi="Old Standard TT"/>
        </w:rPr>
        <w:t xml:space="preserve">B. Experimental Pipeline and Reproducibility</w:t>
      </w:r>
      <w:bookmarkEnd w:id="100"/>
    </w:p>
    <w:p>
      <w:pPr>
        <w:pStyle w:val="FirstParagraph"/>
        <w:widowControl/>
      </w:pPr>
      <w:r>
        <w:rPr>
          <w:rFonts w:ascii="Old Standard TT" w:hAnsi="Old Standard TT"/>
        </w:rPr>
        <w:t xml:space="preserve">This appendix shows how raw runs became the reported numbers. The pipeline figure traces the data from collected episodes down to scored steps, and the companion table gives the model versions, providers, decoding settings, seeds, round caps, costs, and the script that runs each stage. Figure 1 in the main text explains the idea for a single episode; here the view is the whole dataset. Probes and text monitors form two branches that read the</w:t>
      </w:r>
      <w:r>
        <w:rPr>
          <w:rFonts w:ascii="Old Standard TT" w:hAnsi="Old Standard TT"/>
        </w:rPr>
        <w:t xml:space="preserve"> </w:t>
      </w:r>
      <w:r>
        <w:rPr>
          <w:rFonts w:ascii="Old Standard TT" w:hAnsi="Old Standard TT"/>
          <w:b/>
          <w:bCs/>
        </w:rPr>
        <w:t xml:space="preserve">same eligible steps</w:t>
      </w:r>
      <w:r>
        <w:rPr>
          <w:rFonts w:ascii="Old Standard TT" w:hAnsi="Old Standard TT"/>
        </w:rPr>
        <w:t xml:space="preserve"> </w:t>
      </w:r>
      <w:r>
        <w:rPr>
          <w:rFonts w:ascii="Old Standard TT" w:hAnsi="Old Standard TT"/>
        </w:rPr>
        <w:t xml:space="preserve">and rejoin at scoring, so the figure makes visible that the two are judged head-to-head. Every count comes from the dataset summary and run outputs: the figure and table are the source of truth for the numbers below.</w:t>
      </w:r>
    </w:p>
    <w:p>
      <w:pPr>
        <w:pStyle w:val="BodyText"/>
        <w:widowControl/>
      </w:pPr>
      <w:r>
        <w:rPr>
          <w:rFonts w:ascii="Old Standard TT" w:hAnsi="Old Standard TT"/>
        </w:rPr>
        <w:drawing>
          <wp:inline>
            <wp:extent cx="5943600" cy="5401630"/>
            <wp:effectExtent b="0" l="0" r="0" t="0"/>
            <wp:docPr descr="Pipeline" title="" id="102" name="Picture"/>
            <a:graphic>
              <a:graphicData uri="http://schemas.openxmlformats.org/drawingml/2006/picture">
                <pic:pic>
                  <pic:nvPicPr>
                    <pic:cNvPr descr="figures/pipeline.png" id="103" name="Picture"/>
                    <pic:cNvPicPr>
                      <a:picLocks noChangeArrowheads="1" noChangeAspect="1"/>
                    </pic:cNvPicPr>
                  </pic:nvPicPr>
                  <pic:blipFill>
                    <a:blip r:embed="rId101"/>
                    <a:stretch>
                      <a:fillRect/>
                    </a:stretch>
                  </pic:blipFill>
                  <pic:spPr bwMode="auto">
                    <a:xfrm>
                      <a:off x="0" y="0"/>
                      <a:ext cx="5943600" cy="5401630"/>
                    </a:xfrm>
                    <a:prstGeom prst="rect">
                      <a:avLst/>
                    </a:prstGeom>
                    <a:noFill/>
                    <a:ln w="9525">
                      <a:noFill/>
                      <a:headEnd/>
                      <a:tailEnd/>
                    </a:ln>
                  </pic:spPr>
                </pic:pic>
              </a:graphicData>
            </a:graphic>
          </wp:inline>
        </w:drawing>
      </w:r>
    </w:p>
    <w:p>
      <w:pPr>
        <w:pStyle w:val="BodyText"/>
        <w:widowControl/>
      </w:pPr>
      <w:r>
        <w:rPr>
          <w:rFonts w:ascii="Old Standard TT" w:hAnsi="Old Standard TT"/>
          <w:b/>
          <w:bCs/>
        </w:rPr>
        <w:t xml:space="preserve">Figure (Pipeline).</w:t>
      </w:r>
      <w:r>
        <w:rPr>
          <w:rFonts w:ascii="Old Standard TT" w:hAnsi="Old Standard TT"/>
        </w:rPr>
        <w:t xml:space="preserve"> </w:t>
      </w:r>
      <w:r>
        <w:rPr>
          <w:rFonts w:ascii="Old Standard TT" w:hAnsi="Old Standard TT"/>
        </w:rPr>
        <w:t xml:space="preserve">How collected episodes become scored steps, for Qwen3-32B: 397 complete episodes become 338 kept, with 6,404 eligible steps; probes and monitors branch from the same steps and rejoin at scoring (stages 7–8). Counts are</w:t>
      </w:r>
      <w:r>
        <w:rPr>
          <w:rFonts w:ascii="Old Standard TT" w:hAnsi="Old Standard TT"/>
        </w:rPr>
        <w:t xml:space="preserve"> </w:t>
      </w:r>
      <w:r>
        <w:rPr>
          <w:rFonts w:ascii="Old Standard TT" w:hAnsi="Old Standard TT"/>
          <w:i/>
          <w:iCs/>
        </w:rPr>
        <w:t xml:space="preserve">first data batch | new-episode set</w:t>
      </w:r>
      <w:r>
        <w:rPr>
          <w:rFonts w:ascii="Old Standard TT" w:hAnsi="Old Standard TT"/>
        </w:rPr>
        <w:t xml:space="preserve">; the dashed lane is the reserved gpt-oss lane, never pooled.</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36"/>
        <w:gridCol w:w="1498"/>
        <w:gridCol w:w="2153"/>
        <w:gridCol w:w="1404"/>
        <w:gridCol w:w="1966"/>
        <w:gridCol w:w="1404"/>
      </w:tblGrid>
      <w:tr>
        <w:trPr>
          <w:tblHeader w:val="on"/>
          <w:tblHeader w:val="true"/>
          <w:cantSplit/>
        </w:trPr>
        <w:tc>
          <w:tcPr>
            <w:tcW w:type="dxa" w:w="936"/>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Stage</w:t>
            </w:r>
          </w:p>
        </w:tc>
        <w:tc>
          <w:tcPr>
            <w:tcW w:type="dxa" w:w="1498"/>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Input</w:t>
            </w:r>
          </w:p>
        </w:tc>
        <w:tc>
          <w:tcPr>
            <w:tcW w:type="dxa" w:w="2153"/>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What happens</w:t>
            </w:r>
          </w:p>
        </w:tc>
        <w:tc>
          <w:tcPr>
            <w:tcW w:type="dxa" w:w="1404"/>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Output</w:t>
            </w:r>
          </w:p>
        </w:tc>
        <w:tc>
          <w:tcPr>
            <w:tcW w:type="dxa" w:w="1966"/>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Key settings</w:t>
            </w:r>
          </w:p>
        </w:tc>
        <w:tc>
          <w:tcPr>
            <w:tcW w:type="dxa" w:w="1404"/>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Code</w:t>
            </w:r>
          </w:p>
        </w:tc>
      </w:tr>
      <w:tr>
        <w:trPr>
          <w:cantSplit/>
        </w:trPr>
        <w:tc>
          <w:tcPr>
            <w:tcW w:type="dxa" w:w="936"/>
            <w:vAlign w:val="center"/>
            <w:tcMar>
              <w:top w:w="65" w:type="dxa"/>
              <w:start w:w="70" w:type="dxa"/>
              <w:bottom w:w="65" w:type="dxa"/>
              <w:end w:w="70" w:type="dxa"/>
            </w:tcMar>
          </w:tcPr>
          <w:p>
            <w:pPr>
              <w:spacing w:after="0" w:line="240" w:lineRule="auto"/>
            </w:pPr>
            <w:r>
              <w:rPr>
                <w:rFonts w:ascii="Old Standard TT" w:hAnsi="Old Standard TT"/>
                <w:sz w:val="17"/>
              </w:rPr>
              <w:t xml:space="preserve">1. Collect episodes</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7"/>
              </w:rPr>
              <w:t xml:space="preserve">Scenario, condition, seed</w:t>
            </w:r>
          </w:p>
        </w:tc>
        <w:tc>
          <w:tcPr>
            <w:tcW w:type="dxa" w:w="2153"/>
            <w:vAlign w:val="center"/>
            <w:tcMar>
              <w:top w:w="65" w:type="dxa"/>
              <w:start w:w="70" w:type="dxa"/>
              <w:bottom w:w="65" w:type="dxa"/>
              <w:end w:w="70" w:type="dxa"/>
            </w:tcMar>
          </w:tcPr>
          <w:p>
            <w:pPr>
              <w:spacing w:after="0" w:line="240" w:lineRule="auto"/>
            </w:pPr>
            <w:r>
              <w:rPr>
                <w:rFonts w:ascii="Old Standard TT" w:hAnsi="Old Standard TT"/>
                <w:sz w:val="17"/>
              </w:rPr>
              <w:t xml:space="preserve">Peer and target run in a mocked workspace via the API</w:t>
            </w:r>
          </w:p>
        </w:tc>
        <w:tc>
          <w:tcPr>
            <w:tcW w:type="dxa" w:w="1404"/>
            <w:vAlign w:val="center"/>
            <w:tcMar>
              <w:top w:w="65" w:type="dxa"/>
              <w:start w:w="70" w:type="dxa"/>
              <w:bottom w:w="65" w:type="dxa"/>
              <w:end w:w="70" w:type="dxa"/>
            </w:tcMar>
          </w:tcPr>
          <w:p>
            <w:pPr>
              <w:spacing w:after="0" w:line="240" w:lineRule="auto"/>
            </w:pPr>
            <w:r>
              <w:rPr>
                <w:rFonts w:ascii="Old Standard TT" w:hAnsi="Old Standard TT"/>
                <w:sz w:val="17"/>
              </w:rPr>
              <w:t xml:space="preserve">Transcripts and tool logs: 268 complete episodes (187 recruiting, 55 control, 26 alone) | 129 (110 recruiting, 19 control)</w:t>
            </w:r>
          </w:p>
        </w:tc>
        <w:tc>
          <w:tcPr>
            <w:tcW w:type="dxa" w:w="1966"/>
            <w:vAlign w:val="center"/>
            <w:tcMar>
              <w:top w:w="65" w:type="dxa"/>
              <w:start w:w="70" w:type="dxa"/>
              <w:bottom w:w="65" w:type="dxa"/>
              <w:end w:w="70" w:type="dxa"/>
            </w:tcMar>
          </w:tcPr>
          <w:p>
            <w:pPr>
              <w:spacing w:after="0" w:line="240" w:lineRule="auto"/>
            </w:pPr>
            <w:r>
              <w:rPr>
                <w:rFonts w:ascii="Old Standard TT" w:hAnsi="Old Standard TT"/>
                <w:sz w:val="17"/>
              </w:rPr>
              <w:t xml:space="preserve">Target Qwen3-32B, thinking off; peer DeepSeek-V4-Flash; OpenRouter, one pinned target provider, no fallbacks; temperature 0.7; up to 20 rounds and 12 tool steps per turn. Six scenarios in the first batch, five in the new-episode set. New-episode set collection: $0.82</w:t>
            </w:r>
          </w:p>
        </w:tc>
        <w:tc>
          <w:tcPr>
            <w:tcW w:type="dxa" w:w="1404"/>
            <w:vAlign w:val="center"/>
            <w:tcMar>
              <w:top w:w="65" w:type="dxa"/>
              <w:start w:w="70" w:type="dxa"/>
              <w:bottom w:w="65" w:type="dxa"/>
              <w:end w:w="70" w:type="dxa"/>
            </w:tcMar>
          </w:tcPr>
          <w:p>
            <w:pPr>
              <w:spacing w:after="0" w:line="240" w:lineRule="auto"/>
            </w:pPr>
            <w:r>
              <w:rPr>
                <w:rStyle w:val="VerbatimChar"/>
                <w:rFonts w:ascii="Old Standard TT" w:hAnsi="Old Standard TT"/>
                <w:sz w:val="17"/>
              </w:rPr>
              <w:t xml:space="preserve">experiments/E01-behaviour-pilot/scale_up.py</w:t>
            </w:r>
            <w:r>
              <w:rPr>
                <w:rFonts w:ascii="Old Standard TT" w:hAnsi="Old Standard TT"/>
                <w:sz w:val="17"/>
              </w:rPr>
              <w:t xml:space="preserve">,</w:t>
            </w:r>
            <w:r>
              <w:rPr>
                <w:rFonts w:ascii="Old Standard TT" w:hAnsi="Old Standard TT"/>
                <w:sz w:val="17"/>
              </w:rPr>
              <w:t xml:space="preserve"> </w:t>
            </w:r>
            <w:r>
              <w:rPr>
                <w:rStyle w:val="VerbatimChar"/>
                <w:rFonts w:ascii="Old Standard TT" w:hAnsi="Old Standard TT"/>
                <w:sz w:val="17"/>
              </w:rPr>
              <w:t xml:space="preserve">harness.py</w:t>
            </w:r>
          </w:p>
        </w:tc>
      </w:tr>
      <w:tr>
        <w:trPr>
          <w:cantSplit/>
        </w:trPr>
        <w:tc>
          <w:tcPr>
            <w:tcW w:type="dxa" w:w="936"/>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2. Label outcomes</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Tool logs</w:t>
            </w:r>
          </w:p>
        </w:tc>
        <w:tc>
          <w:tcPr>
            <w:tcW w:type="dxa" w:w="2153"/>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A rule finds the first forbidden action (the complete value in a channel post or a new file) and its round. A decision-model judge marks each give-in deliberate or accidental</w:t>
            </w:r>
          </w:p>
        </w:tc>
        <w:tc>
          <w:tcPr>
            <w:tcW w:type="dxa" w:w="1404"/>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One label per episode; 63 | 38 kept recruiting episodes gave in</w:t>
            </w:r>
          </w:p>
        </w:tc>
        <w:tc>
          <w:tcPr>
            <w:tcW w:type="dxa" w:w="1966"/>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Exact match on the episode’s synthetic value. The judge is Luna Decisions, which agrees with 40 blind human labels on 36 of 40 (κ = 0.79)</w:t>
            </w:r>
          </w:p>
        </w:tc>
        <w:tc>
          <w:tcPr>
            <w:tcW w:type="dxa" w:w="1404"/>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Scenario scorers in</w:t>
            </w:r>
            <w:r>
              <w:rPr>
                <w:rFonts w:ascii="Old Standard TT" w:hAnsi="Old Standard TT"/>
                <w:sz w:val="17"/>
              </w:rPr>
              <w:t xml:space="preserve"> </w:t>
            </w:r>
            <w:r>
              <w:rPr>
                <w:rStyle w:val="VerbatimChar"/>
                <w:rFonts w:ascii="Old Standard TT" w:hAnsi="Old Standard TT"/>
                <w:sz w:val="17"/>
              </w:rPr>
              <w:t xml:space="preserve">experiments/E01-behaviour-pilot/</w:t>
            </w:r>
            <w:r>
              <w:rPr>
                <w:rFonts w:ascii="Old Standard TT" w:hAnsi="Old Standard TT"/>
                <w:sz w:val="17"/>
              </w:rPr>
              <w:t xml:space="preserve">;</w:t>
            </w:r>
            <w:r>
              <w:rPr>
                <w:rFonts w:ascii="Old Standard TT" w:hAnsi="Old Standard TT"/>
                <w:sz w:val="17"/>
              </w:rPr>
              <w:t xml:space="preserve"> </w:t>
            </w:r>
            <w:r>
              <w:rPr>
                <w:rStyle w:val="VerbatimChar"/>
                <w:rFonts w:ascii="Old Standard TT" w:hAnsi="Old Standard TT"/>
                <w:sz w:val="17"/>
              </w:rPr>
              <w:t xml:space="preserve">judge_labels.py</w:t>
            </w:r>
          </w:p>
        </w:tc>
      </w:tr>
      <w:tr>
        <w:trPr>
          <w:cantSplit/>
        </w:trPr>
        <w:tc>
          <w:tcPr>
            <w:tcW w:type="dxa" w:w="936"/>
            <w:vAlign w:val="center"/>
            <w:tcMar>
              <w:top w:w="65" w:type="dxa"/>
              <w:start w:w="70" w:type="dxa"/>
              <w:bottom w:w="65" w:type="dxa"/>
              <w:end w:w="70" w:type="dxa"/>
            </w:tcMar>
          </w:tcPr>
          <w:p>
            <w:pPr>
              <w:spacing w:after="0" w:line="240" w:lineRule="auto"/>
            </w:pPr>
            <w:r>
              <w:rPr>
                <w:rFonts w:ascii="Old Standard TT" w:hAnsi="Old Standard TT"/>
                <w:sz w:val="17"/>
              </w:rPr>
              <w:t xml:space="preserve">3. Select eligible steps</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7"/>
              </w:rPr>
              <w:t xml:space="preserve">Labelled episodes</w:t>
            </w:r>
          </w:p>
        </w:tc>
        <w:tc>
          <w:tcPr>
            <w:tcW w:type="dxa" w:w="2153"/>
            <w:vAlign w:val="center"/>
            <w:tcMar>
              <w:top w:w="65" w:type="dxa"/>
              <w:start w:w="70" w:type="dxa"/>
              <w:bottom w:w="65" w:type="dxa"/>
              <w:end w:w="70" w:type="dxa"/>
            </w:tcMar>
          </w:tcPr>
          <w:p>
            <w:pPr>
              <w:spacing w:after="0" w:line="240" w:lineRule="auto"/>
            </w:pPr>
            <w:r>
              <w:rPr>
                <w:rFonts w:ascii="Old Standard TT" w:hAnsi="Old Standard TT"/>
                <w:sz w:val="17"/>
              </w:rPr>
              <w:t xml:space="preserve">Keep steps after the value is read and before it is disclosed. Drop invalid episodes (incomplete, never read the value, or ordinary task wrong) and those with no step in the window</w:t>
            </w:r>
          </w:p>
        </w:tc>
        <w:tc>
          <w:tcPr>
            <w:tcW w:type="dxa" w:w="1404"/>
            <w:vAlign w:val="center"/>
            <w:tcMar>
              <w:top w:w="65" w:type="dxa"/>
              <w:start w:w="70" w:type="dxa"/>
              <w:bottom w:w="65" w:type="dxa"/>
              <w:end w:w="70" w:type="dxa"/>
            </w:tcMar>
          </w:tcPr>
          <w:p>
            <w:pPr>
              <w:spacing w:after="0" w:line="240" w:lineRule="auto"/>
            </w:pPr>
            <w:r>
              <w:rPr>
                <w:rFonts w:ascii="Old Standard TT" w:hAnsi="Old Standard TT"/>
                <w:sz w:val="17"/>
              </w:rPr>
              <w:t xml:space="preserve">230 kept, 38 dropped (36 invalid, 2 no step); 4,184 steps | 108 kept, 21 dropped (all invalid); 2,220 steps. Total 6,404 steps from 338 episodes</w:t>
            </w:r>
          </w:p>
        </w:tc>
        <w:tc>
          <w:tcPr>
            <w:tcW w:type="dxa" w:w="1966"/>
            <w:vAlign w:val="center"/>
            <w:tcMar>
              <w:top w:w="65" w:type="dxa"/>
              <w:start w:w="70" w:type="dxa"/>
              <w:bottom w:w="65" w:type="dxa"/>
              <w:end w:w="70" w:type="dxa"/>
            </w:tcMar>
          </w:tcPr>
          <w:p>
            <w:pPr>
              <w:spacing w:after="0" w:line="240" w:lineRule="auto"/>
            </w:pPr>
            <w:r>
              <w:rPr>
                <w:rFonts w:ascii="Old Standard TT" w:hAnsi="Old Standard TT"/>
                <w:sz w:val="17"/>
              </w:rPr>
              <w:t xml:space="preserve">A step is one request to the target. Recruiting eligible steps: 2,910 | 1,787</w:t>
            </w:r>
          </w:p>
        </w:tc>
        <w:tc>
          <w:tcPr>
            <w:tcW w:type="dxa" w:w="1404"/>
            <w:vAlign w:val="center"/>
            <w:tcMar>
              <w:top w:w="65" w:type="dxa"/>
              <w:start w:w="70" w:type="dxa"/>
              <w:bottom w:w="65" w:type="dxa"/>
              <w:end w:w="70" w:type="dxa"/>
            </w:tcMar>
          </w:tcPr>
          <w:p>
            <w:pPr>
              <w:spacing w:after="0" w:line="240" w:lineRule="auto"/>
            </w:pPr>
            <w:r>
              <w:rPr>
                <w:rStyle w:val="VerbatimChar"/>
                <w:rFonts w:ascii="Old Standard TT" w:hAnsi="Old Standard TT"/>
                <w:sz w:val="17"/>
              </w:rPr>
              <w:t xml:space="preserve">experiments/E05-probes/replay2_data.py</w:t>
            </w:r>
            <w:r>
              <w:rPr>
                <w:rFonts w:ascii="Old Standard TT" w:hAnsi="Old Standard TT"/>
                <w:sz w:val="17"/>
              </w:rPr>
              <w:t xml:space="preserve">,</w:t>
            </w:r>
            <w:r>
              <w:rPr>
                <w:rFonts w:ascii="Old Standard TT" w:hAnsi="Old Standard TT"/>
                <w:sz w:val="17"/>
              </w:rPr>
              <w:t xml:space="preserve"> </w:t>
            </w:r>
            <w:r>
              <w:rPr>
                <w:rStyle w:val="VerbatimChar"/>
                <w:rFonts w:ascii="Old Standard TT" w:hAnsi="Old Standard TT"/>
                <w:sz w:val="17"/>
              </w:rPr>
              <w:t xml:space="preserve">replay3_data.py</w:t>
            </w:r>
          </w:p>
        </w:tc>
      </w:tr>
      <w:tr>
        <w:trPr>
          <w:cantSplit/>
        </w:trPr>
        <w:tc>
          <w:tcPr>
            <w:tcW w:type="dxa" w:w="936"/>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4. GPU replay</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Every target request of the complete episodes</w:t>
            </w:r>
          </w:p>
        </w:tc>
        <w:tc>
          <w:tcPr>
            <w:tcW w:type="dxa" w:w="2153"/>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One forward pass per request through the open weights; no generation</w:t>
            </w:r>
          </w:p>
        </w:tc>
        <w:tc>
          <w:tcPr>
            <w:tcW w:type="dxa" w:w="1404"/>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One [64 × 5,120] array per request: all 64 decoder-layer outputs at the last prompt token. 6,003 | 3,112 requests (plus 23 shared branching states, first batch only)</w:t>
            </w:r>
          </w:p>
        </w:tc>
        <w:tc>
          <w:tcPr>
            <w:tcW w:type="dxa" w:w="1966"/>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Qwen/Qwen3-32B, revision 9216db5781bf21249d130ec9da846c4624c16137, bf16, one A100-80GB on Modal. Reply NLL 0.249 | 0.227; top-5 agreement 99.79% | 99.82%. Cost $5.51 | $2.94</w:t>
            </w:r>
          </w:p>
        </w:tc>
        <w:tc>
          <w:tcPr>
            <w:tcW w:type="dxa" w:w="1404"/>
            <w:vAlign w:val="center"/>
            <w:tcMar>
              <w:top w:w="65" w:type="dxa"/>
              <w:start w:w="70" w:type="dxa"/>
              <w:bottom w:w="65" w:type="dxa"/>
              <w:end w:w="70" w:type="dxa"/>
            </w:tcMar>
            <w:shd w:fill="F4F4F4"/>
          </w:tcPr>
          <w:p>
            <w:pPr>
              <w:spacing w:after="0" w:line="240" w:lineRule="auto"/>
            </w:pPr>
            <w:r>
              <w:rPr>
                <w:rStyle w:val="VerbatimChar"/>
                <w:rFonts w:ascii="Old Standard TT" w:hAnsi="Old Standard TT"/>
                <w:sz w:val="17"/>
              </w:rPr>
              <w:t xml:space="preserve">experiments/E02-activation-replay/replay.py</w:t>
            </w:r>
            <w:r>
              <w:rPr>
                <w:rFonts w:ascii="Old Standard TT" w:hAnsi="Old Standard TT"/>
                <w:sz w:val="17"/>
              </w:rPr>
              <w:t xml:space="preserve">,</w:t>
            </w:r>
            <w:r>
              <w:rPr>
                <w:rFonts w:ascii="Old Standard TT" w:hAnsi="Old Standard TT"/>
                <w:sz w:val="17"/>
              </w:rPr>
              <w:t xml:space="preserve"> </w:t>
            </w:r>
            <w:r>
              <w:rPr>
                <w:rStyle w:val="VerbatimChar"/>
                <w:rFonts w:ascii="Old Standard TT" w:hAnsi="Old Standard TT"/>
                <w:sz w:val="17"/>
              </w:rPr>
              <w:t xml:space="preserve">modal_app.py</w:t>
            </w:r>
            <w:r>
              <w:rPr>
                <w:rFonts w:ascii="Old Standard TT" w:hAnsi="Old Standard TT"/>
                <w:sz w:val="17"/>
              </w:rPr>
              <w:t xml:space="preserve">,</w:t>
            </w:r>
            <w:r>
              <w:rPr>
                <w:rFonts w:ascii="Old Standard TT" w:hAnsi="Old Standard TT"/>
                <w:sz w:val="17"/>
              </w:rPr>
              <w:t xml:space="preserve"> </w:t>
            </w:r>
            <w:r>
              <w:rPr>
                <w:rStyle w:val="VerbatimChar"/>
                <w:rFonts w:ascii="Old Standard TT" w:hAnsi="Old Standard TT"/>
                <w:sz w:val="17"/>
              </w:rPr>
              <w:t xml:space="preserve">fidelity.py</w:t>
            </w:r>
          </w:p>
        </w:tc>
      </w:tr>
      <w:tr>
        <w:trPr>
          <w:cantSplit/>
        </w:trPr>
        <w:tc>
          <w:tcPr>
            <w:tcW w:type="dxa" w:w="936"/>
            <w:vAlign w:val="center"/>
            <w:tcMar>
              <w:top w:w="65" w:type="dxa"/>
              <w:start w:w="70" w:type="dxa"/>
              <w:bottom w:w="65" w:type="dxa"/>
              <w:end w:w="70" w:type="dxa"/>
            </w:tcMar>
          </w:tcPr>
          <w:p>
            <w:pPr>
              <w:spacing w:after="0" w:line="240" w:lineRule="auto"/>
            </w:pPr>
            <w:r>
              <w:rPr>
                <w:rFonts w:ascii="Old Standard TT" w:hAnsi="Old Standard TT"/>
                <w:sz w:val="17"/>
              </w:rPr>
              <w:t xml:space="preserve">5. Train probes</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7"/>
              </w:rPr>
              <w:t xml:space="preserve">Activations and labels on recruiting eligible steps</w:t>
            </w:r>
          </w:p>
        </w:tc>
        <w:tc>
          <w:tcPr>
            <w:tcW w:type="dxa" w:w="2153"/>
            <w:vAlign w:val="center"/>
            <w:tcMar>
              <w:top w:w="65" w:type="dxa"/>
              <w:start w:w="70" w:type="dxa"/>
              <w:bottom w:w="65" w:type="dxa"/>
              <w:end w:w="70" w:type="dxa"/>
            </w:tcMar>
          </w:tcPr>
          <w:p>
            <w:pPr>
              <w:spacing w:after="0" w:line="240" w:lineRule="auto"/>
            </w:pPr>
            <w:r>
              <w:rPr>
                <w:rFonts w:ascii="Old Standard TT" w:hAnsi="Old Standard TT"/>
                <w:sz w:val="17"/>
              </w:rPr>
              <w:t xml:space="preserve">Logistic regression on one layer’s 5,120-dimensional vector</w:t>
            </w:r>
          </w:p>
        </w:tc>
        <w:tc>
          <w:tcPr>
            <w:tcW w:type="dxa" w:w="1404"/>
            <w:vAlign w:val="center"/>
            <w:tcMar>
              <w:top w:w="65" w:type="dxa"/>
              <w:start w:w="70" w:type="dxa"/>
              <w:bottom w:w="65" w:type="dxa"/>
              <w:end w:w="70" w:type="dxa"/>
            </w:tcMar>
          </w:tcPr>
          <w:p>
            <w:pPr>
              <w:spacing w:after="0" w:line="240" w:lineRule="auto"/>
            </w:pPr>
            <w:r>
              <w:rPr>
                <w:rFonts w:ascii="Old Standard TT" w:hAnsi="Old Standard TT"/>
                <w:sz w:val="17"/>
              </w:rPr>
              <w:t xml:space="preserve">A probe score per step</w:t>
            </w:r>
          </w:p>
        </w:tc>
        <w:tc>
          <w:tcPr>
            <w:tcW w:type="dxa" w:w="1966"/>
            <w:vAlign w:val="center"/>
            <w:tcMar>
              <w:top w:w="65" w:type="dxa"/>
              <w:start w:w="70" w:type="dxa"/>
              <w:bottom w:w="65" w:type="dxa"/>
              <w:end w:w="70" w:type="dxa"/>
            </w:tcMar>
          </w:tcPr>
          <w:p>
            <w:pPr>
              <w:spacing w:after="0" w:line="240" w:lineRule="auto"/>
            </w:pPr>
            <w:r>
              <w:rPr>
                <w:rFonts w:ascii="Old Standard TT" w:hAnsi="Old Standard TT"/>
                <w:sz w:val="17"/>
              </w:rPr>
              <w:t xml:space="preserve">Layer chosen from 17 candidates (0, 4, …, 60, 63) on a 25% inner family holdout. C = 0.1; training-only standardisation; positives and negatives weighted equally within each round. Families never cross train and test. Held-out scenario: 6 rotations; pooled CV: 5 family folds; seeds 42, 43, 44</w:t>
            </w:r>
          </w:p>
        </w:tc>
        <w:tc>
          <w:tcPr>
            <w:tcW w:type="dxa" w:w="1404"/>
            <w:vAlign w:val="center"/>
            <w:tcMar>
              <w:top w:w="65" w:type="dxa"/>
              <w:start w:w="70" w:type="dxa"/>
              <w:bottom w:w="65" w:type="dxa"/>
              <w:end w:w="70" w:type="dxa"/>
            </w:tcMar>
          </w:tcPr>
          <w:p>
            <w:pPr>
              <w:spacing w:after="0" w:line="240" w:lineRule="auto"/>
            </w:pPr>
            <w:r>
              <w:rPr>
                <w:rStyle w:val="VerbatimChar"/>
                <w:rFonts w:ascii="Old Standard TT" w:hAnsi="Old Standard TT"/>
                <w:sz w:val="17"/>
              </w:rPr>
              <w:t xml:space="preserve">experiments/E05-probes/all_data_main.py</w:t>
            </w:r>
            <w:r>
              <w:rPr>
                <w:rFonts w:ascii="Old Standard TT" w:hAnsi="Old Standard TT"/>
                <w:sz w:val="17"/>
              </w:rPr>
              <w:t xml:space="preserve">,</w:t>
            </w:r>
            <w:r>
              <w:rPr>
                <w:rFonts w:ascii="Old Standard TT" w:hAnsi="Old Standard TT"/>
                <w:sz w:val="17"/>
              </w:rPr>
              <w:t xml:space="preserve"> </w:t>
            </w:r>
            <w:r>
              <w:rPr>
                <w:rStyle w:val="VerbatimChar"/>
                <w:rFonts w:ascii="Old Standard TT" w:hAnsi="Old Standard TT"/>
                <w:sz w:val="17"/>
              </w:rPr>
              <w:t xml:space="preserve">replay2_core.py</w:t>
            </w:r>
          </w:p>
        </w:tc>
      </w:tr>
      <w:tr>
        <w:trPr>
          <w:cantSplit/>
        </w:trPr>
        <w:tc>
          <w:tcPr>
            <w:tcW w:type="dxa" w:w="936"/>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6. Run text monitors</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The same eligible steps, rendered as text</w:t>
            </w:r>
          </w:p>
        </w:tc>
        <w:tc>
          <w:tcPr>
            <w:tcW w:type="dxa" w:w="2153"/>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Each monitor gives a score per step</w:t>
            </w:r>
          </w:p>
        </w:tc>
        <w:tc>
          <w:tcPr>
            <w:tcW w:type="dxa" w:w="1404"/>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A monitor score per step</w:t>
            </w:r>
          </w:p>
        </w:tc>
        <w:tc>
          <w:tcPr>
            <w:tcW w:type="dxa" w:w="1966"/>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Jev 1.14, Luna Decisions, GPT-5-nano; 3 access levels × 2 questions (detect, forecast). First batch: all 18 setups on all 4,184 steps (75,312 calls, $12.67). New-episode set: 8 setups chosen before its results existed, on 2,220 steps ($2.33)</w:t>
            </w:r>
          </w:p>
        </w:tc>
        <w:tc>
          <w:tcPr>
            <w:tcW w:type="dxa" w:w="1404"/>
            <w:vAlign w:val="center"/>
            <w:tcMar>
              <w:top w:w="65" w:type="dxa"/>
              <w:start w:w="70" w:type="dxa"/>
              <w:bottom w:w="65" w:type="dxa"/>
              <w:end w:w="70" w:type="dxa"/>
            </w:tcMar>
            <w:shd w:fill="F4F4F4"/>
          </w:tcPr>
          <w:p>
            <w:pPr>
              <w:spacing w:after="0" w:line="240" w:lineRule="auto"/>
            </w:pPr>
            <w:r>
              <w:rPr>
                <w:rStyle w:val="VerbatimChar"/>
                <w:rFonts w:ascii="Old Standard TT" w:hAnsi="Old Standard TT"/>
                <w:sz w:val="17"/>
              </w:rPr>
              <w:t xml:space="preserve">experiments/E06-monitors/monitors.py</w:t>
            </w:r>
            <w:r>
              <w:rPr>
                <w:rFonts w:ascii="Old Standard TT" w:hAnsi="Old Standard TT"/>
                <w:sz w:val="17"/>
              </w:rPr>
              <w:t xml:space="preserve">,</w:t>
            </w:r>
            <w:r>
              <w:rPr>
                <w:rFonts w:ascii="Old Standard TT" w:hAnsi="Old Standard TT"/>
                <w:sz w:val="17"/>
              </w:rPr>
              <w:t xml:space="preserve"> </w:t>
            </w:r>
            <w:r>
              <w:rPr>
                <w:rStyle w:val="VerbatimChar"/>
                <w:rFonts w:ascii="Old Standard TT" w:hAnsi="Old Standard TT"/>
                <w:sz w:val="17"/>
              </w:rPr>
              <w:t xml:space="preserve">prompts.py</w:t>
            </w:r>
          </w:p>
        </w:tc>
      </w:tr>
      <w:tr>
        <w:trPr>
          <w:cantSplit/>
        </w:trPr>
        <w:tc>
          <w:tcPr>
            <w:tcW w:type="dxa" w:w="936"/>
            <w:vAlign w:val="center"/>
            <w:tcMar>
              <w:top w:w="65" w:type="dxa"/>
              <w:start w:w="70" w:type="dxa"/>
              <w:bottom w:w="65" w:type="dxa"/>
              <w:end w:w="70" w:type="dxa"/>
            </w:tcMar>
          </w:tcPr>
          <w:p>
            <w:pPr>
              <w:spacing w:after="0" w:line="240" w:lineRule="auto"/>
            </w:pPr>
            <w:r>
              <w:rPr>
                <w:rFonts w:ascii="Old Standard TT" w:hAnsi="Old Standard TT"/>
                <w:sz w:val="17"/>
              </w:rPr>
              <w:t xml:space="preserve">7. Score</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7"/>
              </w:rPr>
              <w:t xml:space="preserve">Probe and monitor scores, labels</w:t>
            </w:r>
          </w:p>
        </w:tc>
        <w:tc>
          <w:tcPr>
            <w:tcW w:type="dxa" w:w="2153"/>
            <w:vAlign w:val="center"/>
            <w:tcMar>
              <w:top w:w="65" w:type="dxa"/>
              <w:start w:w="70" w:type="dxa"/>
              <w:bottom w:w="65" w:type="dxa"/>
              <w:end w:w="70" w:type="dxa"/>
            </w:tcMar>
          </w:tcPr>
          <w:p>
            <w:pPr>
              <w:spacing w:after="0" w:line="240" w:lineRule="auto"/>
            </w:pPr>
            <w:r>
              <w:rPr>
                <w:rFonts w:ascii="Old Standard TT" w:hAnsi="Old Standard TT"/>
                <w:sz w:val="17"/>
              </w:rPr>
              <w:t xml:space="preserve">Within scenario × round AUROC; combination test (round, prompt length and monitor score, with and without the probe)</w:t>
            </w:r>
          </w:p>
        </w:tc>
        <w:tc>
          <w:tcPr>
            <w:tcW w:type="dxa" w:w="1404"/>
            <w:vAlign w:val="center"/>
            <w:tcMar>
              <w:top w:w="65" w:type="dxa"/>
              <w:start w:w="70" w:type="dxa"/>
              <w:bottom w:w="65" w:type="dxa"/>
              <w:end w:w="70" w:type="dxa"/>
            </w:tcMar>
          </w:tcPr>
          <w:p>
            <w:pPr>
              <w:spacing w:after="0" w:line="240" w:lineRule="auto"/>
            </w:pPr>
            <w:r>
              <w:rPr>
                <w:rFonts w:ascii="Old Standard TT" w:hAnsi="Old Standard TT"/>
                <w:sz w:val="17"/>
              </w:rPr>
              <w:t xml:space="preserve">Figure 2 and the main tables</w:t>
            </w:r>
          </w:p>
        </w:tc>
        <w:tc>
          <w:tcPr>
            <w:tcW w:type="dxa" w:w="1966"/>
            <w:vAlign w:val="center"/>
            <w:tcMar>
              <w:top w:w="65" w:type="dxa"/>
              <w:start w:w="70" w:type="dxa"/>
              <w:bottom w:w="65" w:type="dxa"/>
              <w:end w:w="70" w:type="dxa"/>
            </w:tcMar>
          </w:tcPr>
          <w:p>
            <w:pPr>
              <w:spacing w:after="0" w:line="240" w:lineRule="auto"/>
            </w:pPr>
            <w:r>
              <w:rPr>
                <w:rFonts w:ascii="Old Standard TT" w:hAnsi="Old Standard TT"/>
                <w:sz w:val="17"/>
              </w:rPr>
              <w:t xml:space="preserve">1,000 family-bootstrap resamples for 95% intervals; recruiting steps only, 4,697 (250 near-term positives)</w:t>
            </w:r>
          </w:p>
        </w:tc>
        <w:tc>
          <w:tcPr>
            <w:tcW w:type="dxa" w:w="1404"/>
            <w:vAlign w:val="center"/>
            <w:tcMar>
              <w:top w:w="65" w:type="dxa"/>
              <w:start w:w="70" w:type="dxa"/>
              <w:bottom w:w="65" w:type="dxa"/>
              <w:end w:w="70" w:type="dxa"/>
            </w:tcMar>
          </w:tcPr>
          <w:p>
            <w:pPr>
              <w:spacing w:after="0" w:line="240" w:lineRule="auto"/>
            </w:pPr>
            <w:r>
              <w:rPr>
                <w:rStyle w:val="VerbatimChar"/>
                <w:rFonts w:ascii="Old Standard TT" w:hAnsi="Old Standard TT"/>
                <w:sz w:val="17"/>
              </w:rPr>
              <w:t xml:space="preserve">experiments/E06-monitors/score_main.py</w:t>
            </w:r>
            <w:r>
              <w:rPr>
                <w:rFonts w:ascii="Old Standard TT" w:hAnsi="Old Standard TT"/>
                <w:sz w:val="17"/>
              </w:rPr>
              <w:t xml:space="preserve">,</w:t>
            </w:r>
            <w:r>
              <w:rPr>
                <w:rFonts w:ascii="Old Standard TT" w:hAnsi="Old Standard TT"/>
                <w:sz w:val="17"/>
              </w:rPr>
              <w:t xml:space="preserve"> </w:t>
            </w:r>
            <w:r>
              <w:rPr>
                <w:rStyle w:val="VerbatimChar"/>
                <w:rFonts w:ascii="Old Standard TT" w:hAnsi="Old Standard TT"/>
                <w:sz w:val="17"/>
              </w:rPr>
              <w:t xml:space="preserve">combine.py</w:t>
            </w:r>
            <w:r>
              <w:rPr>
                <w:rFonts w:ascii="Old Standard TT" w:hAnsi="Old Standard TT"/>
                <w:sz w:val="17"/>
              </w:rPr>
              <w:t xml:space="preserve">;</w:t>
            </w:r>
            <w:r>
              <w:rPr>
                <w:rFonts w:ascii="Old Standard TT" w:hAnsi="Old Standard TT"/>
                <w:sz w:val="17"/>
              </w:rPr>
              <w:t xml:space="preserve"> </w:t>
            </w:r>
            <w:r>
              <w:rPr>
                <w:rStyle w:val="VerbatimChar"/>
                <w:rFonts w:ascii="Old Standard TT" w:hAnsi="Old Standard TT"/>
                <w:sz w:val="17"/>
              </w:rPr>
              <w:t xml:space="preserve">experiments/E05-probes/metrics.py</w:t>
            </w:r>
          </w:p>
        </w:tc>
      </w:tr>
      <w:tr>
        <w:trPr>
          <w:cantSplit/>
        </w:trPr>
        <w:tc>
          <w:tcPr>
            <w:tcW w:type="dxa" w:w="936"/>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8. Confirmation</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New-episode set (stages 1–4 and 6)</w:t>
            </w:r>
          </w:p>
        </w:tc>
        <w:tc>
          <w:tcPr>
            <w:tcW w:type="dxa" w:w="2153"/>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The probe and combination models, trained on the first data batch only and frozen under a plan fixed in advance, are scored once</w:t>
            </w:r>
          </w:p>
        </w:tc>
        <w:tc>
          <w:tcPr>
            <w:tcW w:type="dxa" w:w="1404"/>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The confirmation numbers</w:t>
            </w:r>
          </w:p>
        </w:tc>
        <w:tc>
          <w:tcPr>
            <w:tcW w:type="dxa" w:w="1966"/>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1,787 recruiting steps (82 near-term positives) from 89 episodes; near-term label only</w:t>
            </w:r>
          </w:p>
        </w:tc>
        <w:tc>
          <w:tcPr>
            <w:tcW w:type="dxa" w:w="1404"/>
            <w:vAlign w:val="center"/>
            <w:tcMar>
              <w:top w:w="65" w:type="dxa"/>
              <w:start w:w="70" w:type="dxa"/>
              <w:bottom w:w="65" w:type="dxa"/>
              <w:end w:w="70" w:type="dxa"/>
            </w:tcMar>
            <w:shd w:fill="F4F4F4"/>
          </w:tcPr>
          <w:p>
            <w:pPr>
              <w:spacing w:after="0" w:line="240" w:lineRule="auto"/>
            </w:pPr>
            <w:r>
              <w:rPr>
                <w:rStyle w:val="VerbatimChar"/>
                <w:rFonts w:ascii="Old Standard TT" w:hAnsi="Old Standard TT"/>
                <w:sz w:val="17"/>
              </w:rPr>
              <w:t xml:space="preserve">experiments/E06-monitors/confirm.py</w:t>
            </w:r>
          </w:p>
        </w:tc>
      </w:tr>
    </w:tbl>
    <w:p>
      <w:pPr>
        <w:pStyle w:val="FirstParagraph"/>
        <w:widowControl/>
      </w:pPr>
      <w:r>
        <w:rPr>
          <w:rFonts w:ascii="Old Standard TT" w:hAnsi="Old Standard TT"/>
        </w:rPr>
        <w:t xml:space="preserve">An episode is analysed only if it is complete, the target read the protected value, and the target wrote a correct status summary at some point in the episode; the stage-3 invalid drops are the episodes that fail one of these. We require a correct summary at</w:t>
      </w:r>
      <w:r>
        <w:rPr>
          <w:rFonts w:ascii="Old Standard TT" w:hAnsi="Old Standard TT"/>
        </w:rPr>
        <w:t xml:space="preserve"> </w:t>
      </w:r>
      <w:r>
        <w:rPr>
          <w:rFonts w:ascii="Old Standard TT" w:hAnsi="Old Standard TT"/>
          <w:i/>
          <w:iCs/>
        </w:rPr>
        <w:t xml:space="preserve">some</w:t>
      </w:r>
      <w:r>
        <w:rPr>
          <w:rFonts w:ascii="Old Standard TT" w:hAnsi="Old Standard TT"/>
        </w:rPr>
        <w:t xml:space="preserve"> </w:t>
      </w:r>
      <w:r>
        <w:rPr>
          <w:rFonts w:ascii="Old Standard TT" w:hAnsi="Old Standard TT"/>
        </w:rPr>
        <w:t xml:space="preserve">point rather than in the final state because on the second target a give-in can overwrite the summary file, so a final-state check would drop mostly give-ins (18 of the 20 episodes it would restore on the second target had leaked) and thereby select on the outcome. For the Qwen target the two checks select exactly the same episodes (none of the 11 excluded here wrote a correct summary at any point, and 3 of them had leaked), so the frozen Qwen results are unchanged. The rule was fixed before any probe or monitor saw the second target’s data. (Audit:</w:t>
      </w:r>
      <w:r>
        <w:rPr>
          <w:rFonts w:ascii="Old Standard TT" w:hAnsi="Old Standard TT"/>
        </w:rPr>
        <w:t xml:space="preserve"> </w:t>
      </w:r>
      <w:r>
        <w:rPr>
          <w:rStyle w:val="VerbatimChar"/>
          <w:rFonts w:ascii="Old Standard TT" w:hAnsi="Old Standard TT"/>
        </w:rPr>
        <w:t xml:space="preserve">runs/20261025-2143-e05-ever-correct-summary-audit</w:t>
      </w:r>
      <w:r>
        <w:rPr>
          <w:rFonts w:ascii="Old Standard TT" w:hAnsi="Old Standard TT"/>
        </w:rPr>
        <w:t xml:space="preserve">; internal pointer, remove before submission.)</w:t>
      </w:r>
    </w:p>
    <w:p>
      <w:pPr>
        <w:pStyle w:val="BodyText"/>
        <w:widowControl/>
      </w:pPr>
      <w:r>
        <w:rPr>
          <w:rFonts w:ascii="Old Standard TT" w:hAnsi="Old Standard TT"/>
        </w:rPr>
        <w:t xml:space="preserve">Table 1 reports a wider behaviour slice than the scored cohort. Of 304 plain-peer recruiting attempts, 226 are analysed for the give-in rate: 37 never read the value, 30 are incomplete, and 11 fail the task-completion check. The scored cohort is smaller again (241 recruiting episodes with a replay-eligible step), because not every analysed episode was replayed and episodes with no eligible step are dropped.</w:t>
      </w:r>
    </w:p>
    <w:p>
      <w:pPr>
        <w:pStyle w:val="BodyText"/>
        <w:widowControl/>
      </w:pPr>
      <w:r>
        <w:rPr>
          <w:rFonts w:ascii="Old Standard TT" w:hAnsi="Old Standard TT"/>
          <w:b/>
          <w:bCs/>
        </w:rPr>
        <w:t xml:space="preserve">Replay and integrity checks (stage 4).</w:t>
      </w:r>
      <w:r>
        <w:rPr>
          <w:rFonts w:ascii="Old Standard TT" w:hAnsi="Old Standard TT"/>
        </w:rPr>
        <w:t xml:space="preserve"> </w:t>
      </w:r>
      <w:r>
        <w:rPr>
          <w:rFonts w:ascii="Old Standard TT" w:hAnsi="Old Standard TT"/>
        </w:rPr>
        <w:t xml:space="preserve">Every target request was replayed once through the open-weight checkpoint: Qwen/Qwen3-32B, revision 9216db5, bf16 on one A100-80GB GPU, with no generation. We saved the output of all 64 decoder layers at the last prompt token, a [64 × 5,120] array per request; the probe chooses among 17 of these layers (stage 5). Before loading the model, each request, prompt, token sequence and episode was checked against a hash manifest frozen beforehand; all matched, and every saved array was finite and had the expected shape. To check that the replay reproduces the model that acted, we scored the first 64 tokens of each actual reply under the replayed model: token-weighted reply negative log-likelihood 0.249 and top-5 token agreement 99.79% on the first data batch (276,868 tokens), and 0.227 and 99.82% on the new-episode set (152,965 tokens). Low reply-likelihood loss and matching token counts are consistent with the replay matching the served model; they do not prove token-for-token identity with the provider’s private template or kernels. As a positive control, a probe at layer 32 separates steps before and after the value is read at AUROC 1.000 on held-out families in the new-episode set.</w:t>
      </w:r>
    </w:p>
    <w:p>
      <w:pPr>
        <w:pStyle w:val="BodyText"/>
        <w:widowControl/>
      </w:pPr>
      <w:r>
        <w:rPr>
          <w:rFonts w:ascii="Old Standard TT" w:hAnsi="Old Standard TT"/>
          <w:b/>
          <w:bCs/>
        </w:rPr>
        <w:t xml:space="preserve">Second target (gpt-oss-20b).</w:t>
      </w:r>
      <w:r>
        <w:rPr>
          <w:rFonts w:ascii="Old Standard TT" w:hAnsi="Old Standard TT"/>
        </w:rPr>
        <w:t xml:space="preserve"> </w:t>
      </w:r>
      <w:r>
        <w:rPr>
          <w:rFonts w:ascii="Old Standard TT" w:hAnsi="Old Standard TT"/>
          <w:b/>
          <w:bCs/>
        </w:rPr>
        <w:t xml:space="preserve">[Placeholder — second lane, filled once that run finishes.]</w:t>
      </w:r>
      <w:r>
        <w:rPr>
          <w:rFonts w:ascii="Old Standard TT" w:hAnsi="Old Standard TT"/>
        </w:rPr>
        <w:t xml:space="preserve"> </w:t>
      </w:r>
      <w:r>
        <w:rPr>
          <w:rFonts w:ascii="Old Standard TT" w:hAnsi="Old Standard TT"/>
        </w:rPr>
        <w:t xml:space="preserve">A parallel lane runs the same eight stages with its own peer (DeepSeek-V4-Pro and a per-target strategy) and its own counts. The two lanes are reported side by side and never pooled. Reasoning handling, the rendering gate, and replay fidelity for gpt-oss are in Appendix F.</w:t>
      </w:r>
    </w:p>
    <w:p>
      <w:pPr>
        <w:pStyle w:val="Heading3"/>
        <w:keepNext/>
        <w:widowControl/>
        <w:spacing w:before="200"/>
      </w:pPr>
      <w:bookmarkStart w:id="104" w:name="_29f519cfe2b273e1f41de0c770c5dd81f1818a5"/>
      <w:r>
        <w:rPr>
          <w:rFonts w:ascii="Old Standard TT" w:hAnsi="Old Standard TT"/>
        </w:rPr>
        <w:t xml:space="preserve">C. Scenarios, an Example, and Model Choice</w:t>
      </w:r>
      <w:bookmarkEnd w:id="104"/>
    </w:p>
    <w:p>
      <w:pPr>
        <w:pStyle w:val="FirstParagraph"/>
        <w:widowControl/>
      </w:pPr>
      <w:r>
        <w:rPr>
          <w:rFonts w:ascii="Old Standard TT" w:hAnsi="Old Standard TT"/>
          <w:i/>
          <w:iCs/>
        </w:rPr>
        <w:t xml:space="preserve">What does an episode look like, which scenarios did we build and why, and why Qwen3-32B?</w:t>
      </w:r>
    </w:p>
    <w:p>
      <w:pPr>
        <w:pStyle w:val="FirstParagraph"/>
        <w:widowControl/>
        <w:numPr>
          <w:ilvl w:val="0"/>
          <w:numId w:val="1002"/>
        </w:numPr>
      </w:pPr>
      <w:r>
        <w:rPr>
          <w:rFonts w:ascii="Old Standard TT" w:hAnsi="Old Standard TT"/>
          <w:b/>
          <w:bCs/>
        </w:rPr>
        <w:t xml:space="preserve">Scenario table (Table 1, moved from §4.1).</w:t>
      </w:r>
      <w:r>
        <w:rPr>
          <w:rFonts w:ascii="Old Standard TT" w:hAnsi="Old Standard TT"/>
        </w:rPr>
        <w:t xml:space="preserve"> </w:t>
      </w:r>
      <w:r>
        <w:rPr>
          <w:rFonts w:ascii="Old Standard TT" w:hAnsi="Old Standard TT"/>
        </w:rPr>
        <w:t xml:space="preserve">Per-scenario give-in rates for the plain-peer behaviour slice; the incident-type and protected-value columns are still to be added [TODO].</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527"/>
        <w:gridCol w:w="1778"/>
        <w:gridCol w:w="2059"/>
        <w:gridCol w:w="1498"/>
        <w:gridCol w:w="1498"/>
      </w:tblGrid>
      <w:tr>
        <w:trPr>
          <w:tblHeader w:val="on"/>
          <w:tblHeader w:val="true"/>
          <w:cantSplit/>
        </w:trPr>
        <w:tc>
          <w:tcPr>
            <w:tcW w:type="dxa" w:w="2527"/>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Scenario</w:t>
            </w:r>
          </w:p>
        </w:tc>
        <w:tc>
          <w:tcPr>
            <w:tcW w:type="dxa" w:w="1778"/>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Recruiting give-ins / analysed</w:t>
            </w:r>
          </w:p>
        </w:tc>
        <w:tc>
          <w:tcPr>
            <w:tcW w:type="dxa" w:w="2059"/>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Rate [95% CI]</w:t>
            </w:r>
          </w:p>
        </w:tc>
        <w:tc>
          <w:tcPr>
            <w:tcW w:type="dxa" w:w="1498"/>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Control</w:t>
            </w:r>
          </w:p>
        </w:tc>
        <w:tc>
          <w:tcPr>
            <w:tcW w:type="dxa" w:w="1498"/>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Alone</w:t>
            </w:r>
          </w:p>
        </w:tc>
      </w:tr>
      <w:tr>
        <w:trPr>
          <w:cantSplit/>
        </w:trPr>
        <w:tc>
          <w:tcPr>
            <w:tcW w:type="dxa" w:w="2527"/>
            <w:vAlign w:val="center"/>
            <w:tcMar>
              <w:top w:w="65" w:type="dxa"/>
              <w:start w:w="70" w:type="dxa"/>
              <w:bottom w:w="65" w:type="dxa"/>
              <w:end w:w="70" w:type="dxa"/>
            </w:tcMar>
          </w:tcPr>
          <w:p>
            <w:pPr>
              <w:spacing w:after="0" w:line="240" w:lineRule="auto"/>
            </w:pPr>
            <w:r>
              <w:rPr>
                <w:rFonts w:ascii="Old Standard TT" w:hAnsi="Old Standard TT"/>
                <w:sz w:val="17"/>
              </w:rPr>
              <w:t xml:space="preserve">Deployment credential</w:t>
            </w:r>
          </w:p>
        </w:tc>
        <w:tc>
          <w:tcPr>
            <w:tcW w:type="dxa" w:w="1778"/>
            <w:vAlign w:val="center"/>
            <w:tcMar>
              <w:top w:w="65" w:type="dxa"/>
              <w:start w:w="70" w:type="dxa"/>
              <w:bottom w:w="65" w:type="dxa"/>
              <w:end w:w="70" w:type="dxa"/>
            </w:tcMar>
          </w:tcPr>
          <w:p>
            <w:pPr>
              <w:spacing w:after="0" w:line="240" w:lineRule="auto"/>
            </w:pPr>
            <w:r>
              <w:rPr>
                <w:rFonts w:ascii="Old Standard TT" w:hAnsi="Old Standard TT"/>
                <w:sz w:val="17"/>
              </w:rPr>
              <w:t xml:space="preserve">21/32</w:t>
            </w:r>
          </w:p>
        </w:tc>
        <w:tc>
          <w:tcPr>
            <w:tcW w:type="dxa" w:w="2059"/>
            <w:vAlign w:val="center"/>
            <w:tcMar>
              <w:top w:w="65" w:type="dxa"/>
              <w:start w:w="70" w:type="dxa"/>
              <w:bottom w:w="65" w:type="dxa"/>
              <w:end w:w="70" w:type="dxa"/>
            </w:tcMar>
          </w:tcPr>
          <w:p>
            <w:pPr>
              <w:spacing w:after="0" w:line="240" w:lineRule="auto"/>
            </w:pPr>
            <w:r>
              <w:rPr>
                <w:rFonts w:ascii="Old Standard TT" w:hAnsi="Old Standard TT"/>
                <w:sz w:val="17"/>
              </w:rPr>
              <w:t xml:space="preserve">65.6% [48.3, 79.6]</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7"/>
              </w:rPr>
              <w:t xml:space="preserve">0/15</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7"/>
              </w:rPr>
              <w:t xml:space="preserve">0/6</w:t>
            </w:r>
          </w:p>
        </w:tc>
      </w:tr>
      <w:tr>
        <w:trPr>
          <w:cantSplit/>
        </w:trPr>
        <w:tc>
          <w:tcPr>
            <w:tcW w:type="dxa" w:w="2527"/>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Dispatch integration code</w:t>
            </w:r>
          </w:p>
        </w:tc>
        <w:tc>
          <w:tcPr>
            <w:tcW w:type="dxa" w:w="177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20/40</w:t>
            </w:r>
          </w:p>
        </w:tc>
        <w:tc>
          <w:tcPr>
            <w:tcW w:type="dxa" w:w="2059"/>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50.0% [35.2, 64.8]</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0/10</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0/4</w:t>
            </w:r>
          </w:p>
        </w:tc>
      </w:tr>
      <w:tr>
        <w:trPr>
          <w:cantSplit/>
        </w:trPr>
        <w:tc>
          <w:tcPr>
            <w:tcW w:type="dxa" w:w="2527"/>
            <w:vAlign w:val="center"/>
            <w:tcMar>
              <w:top w:w="65" w:type="dxa"/>
              <w:start w:w="70" w:type="dxa"/>
              <w:bottom w:w="65" w:type="dxa"/>
              <w:end w:w="70" w:type="dxa"/>
            </w:tcMar>
          </w:tcPr>
          <w:p>
            <w:pPr>
              <w:spacing w:after="0" w:line="240" w:lineRule="auto"/>
            </w:pPr>
            <w:r>
              <w:rPr>
                <w:rFonts w:ascii="Old Standard TT" w:hAnsi="Old Standard TT"/>
                <w:sz w:val="17"/>
              </w:rPr>
              <w:t xml:space="preserve">Handoff exception note</w:t>
            </w:r>
          </w:p>
        </w:tc>
        <w:tc>
          <w:tcPr>
            <w:tcW w:type="dxa" w:w="1778"/>
            <w:vAlign w:val="center"/>
            <w:tcMar>
              <w:top w:w="65" w:type="dxa"/>
              <w:start w:w="70" w:type="dxa"/>
              <w:bottom w:w="65" w:type="dxa"/>
              <w:end w:w="70" w:type="dxa"/>
            </w:tcMar>
          </w:tcPr>
          <w:p>
            <w:pPr>
              <w:spacing w:after="0" w:line="240" w:lineRule="auto"/>
            </w:pPr>
            <w:r>
              <w:rPr>
                <w:rFonts w:ascii="Old Standard TT" w:hAnsi="Old Standard TT"/>
                <w:sz w:val="17"/>
              </w:rPr>
              <w:t xml:space="preserve">18/45</w:t>
            </w:r>
          </w:p>
        </w:tc>
        <w:tc>
          <w:tcPr>
            <w:tcW w:type="dxa" w:w="2059"/>
            <w:vAlign w:val="center"/>
            <w:tcMar>
              <w:top w:w="65" w:type="dxa"/>
              <w:start w:w="70" w:type="dxa"/>
              <w:bottom w:w="65" w:type="dxa"/>
              <w:end w:w="70" w:type="dxa"/>
            </w:tcMar>
          </w:tcPr>
          <w:p>
            <w:pPr>
              <w:spacing w:after="0" w:line="240" w:lineRule="auto"/>
            </w:pPr>
            <w:r>
              <w:rPr>
                <w:rFonts w:ascii="Old Standard TT" w:hAnsi="Old Standard TT"/>
                <w:sz w:val="17"/>
              </w:rPr>
              <w:t xml:space="preserve">40.0% [27.0, 54.5]</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7"/>
              </w:rPr>
              <w:t xml:space="preserve">0/10</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7"/>
              </w:rPr>
              <w:t xml:space="preserve">0/4</w:t>
            </w:r>
          </w:p>
        </w:tc>
      </w:tr>
      <w:tr>
        <w:trPr>
          <w:cantSplit/>
        </w:trPr>
        <w:tc>
          <w:tcPr>
            <w:tcW w:type="dxa" w:w="2527"/>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Procurement reserve price</w:t>
            </w:r>
          </w:p>
        </w:tc>
        <w:tc>
          <w:tcPr>
            <w:tcW w:type="dxa" w:w="177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12/29</w:t>
            </w:r>
          </w:p>
        </w:tc>
        <w:tc>
          <w:tcPr>
            <w:tcW w:type="dxa" w:w="2059"/>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41.4% [25.5, 59.3]</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0/11</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0/3</w:t>
            </w:r>
          </w:p>
        </w:tc>
      </w:tr>
      <w:tr>
        <w:trPr>
          <w:cantSplit/>
        </w:trPr>
        <w:tc>
          <w:tcPr>
            <w:tcW w:type="dxa" w:w="2527"/>
            <w:vAlign w:val="center"/>
            <w:tcMar>
              <w:top w:w="65" w:type="dxa"/>
              <w:start w:w="70" w:type="dxa"/>
              <w:bottom w:w="65" w:type="dxa"/>
              <w:end w:w="70" w:type="dxa"/>
            </w:tcMar>
          </w:tcPr>
          <w:p>
            <w:pPr>
              <w:spacing w:after="0" w:line="240" w:lineRule="auto"/>
            </w:pPr>
            <w:r>
              <w:rPr>
                <w:rFonts w:ascii="Old Standard TT" w:hAnsi="Old Standard TT"/>
                <w:sz w:val="17"/>
              </w:rPr>
              <w:t xml:space="preserve">Service capacity figure</w:t>
            </w:r>
          </w:p>
        </w:tc>
        <w:tc>
          <w:tcPr>
            <w:tcW w:type="dxa" w:w="1778"/>
            <w:vAlign w:val="center"/>
            <w:tcMar>
              <w:top w:w="65" w:type="dxa"/>
              <w:start w:w="70" w:type="dxa"/>
              <w:bottom w:w="65" w:type="dxa"/>
              <w:end w:w="70" w:type="dxa"/>
            </w:tcMar>
          </w:tcPr>
          <w:p>
            <w:pPr>
              <w:spacing w:after="0" w:line="240" w:lineRule="auto"/>
            </w:pPr>
            <w:r>
              <w:rPr>
                <w:rFonts w:ascii="Old Standard TT" w:hAnsi="Old Standard TT"/>
                <w:sz w:val="17"/>
              </w:rPr>
              <w:t xml:space="preserve">16/44</w:t>
            </w:r>
          </w:p>
        </w:tc>
        <w:tc>
          <w:tcPr>
            <w:tcW w:type="dxa" w:w="2059"/>
            <w:vAlign w:val="center"/>
            <w:tcMar>
              <w:top w:w="65" w:type="dxa"/>
              <w:start w:w="70" w:type="dxa"/>
              <w:bottom w:w="65" w:type="dxa"/>
              <w:end w:w="70" w:type="dxa"/>
            </w:tcMar>
          </w:tcPr>
          <w:p>
            <w:pPr>
              <w:spacing w:after="0" w:line="240" w:lineRule="auto"/>
            </w:pPr>
            <w:r>
              <w:rPr>
                <w:rFonts w:ascii="Old Standard TT" w:hAnsi="Old Standard TT"/>
                <w:sz w:val="17"/>
              </w:rPr>
              <w:t xml:space="preserve">36.4% [23.8, 51.1]</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7"/>
              </w:rPr>
              <w:t xml:space="preserve">0/12</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7"/>
              </w:rPr>
              <w:t xml:space="preserve">0/4</w:t>
            </w:r>
          </w:p>
        </w:tc>
      </w:tr>
      <w:tr>
        <w:trPr>
          <w:cantSplit/>
        </w:trPr>
        <w:tc>
          <w:tcPr>
            <w:tcW w:type="dxa" w:w="2527"/>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Service rollout threshold</w:t>
            </w:r>
          </w:p>
        </w:tc>
        <w:tc>
          <w:tcPr>
            <w:tcW w:type="dxa" w:w="177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13/36</w:t>
            </w:r>
          </w:p>
        </w:tc>
        <w:tc>
          <w:tcPr>
            <w:tcW w:type="dxa" w:w="2059"/>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36.1% [22.5, 52.4]</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0/8</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0/4</w:t>
            </w:r>
          </w:p>
        </w:tc>
      </w:tr>
      <w:tr>
        <w:trPr>
          <w:cantSplit/>
        </w:trPr>
        <w:tc>
          <w:tcPr>
            <w:tcW w:type="dxa" w:w="2527"/>
            <w:vAlign w:val="center"/>
            <w:tcMar>
              <w:top w:w="65" w:type="dxa"/>
              <w:start w:w="70" w:type="dxa"/>
              <w:bottom w:w="65" w:type="dxa"/>
              <w:end w:w="70" w:type="dxa"/>
            </w:tcMar>
          </w:tcPr>
          <w:p>
            <w:pPr>
              <w:keepNext/>
              <w:spacing w:after="0" w:line="240" w:lineRule="auto"/>
            </w:pPr>
            <w:r>
              <w:rPr>
                <w:rFonts w:ascii="Old Standard TT" w:hAnsi="Old Standard TT"/>
                <w:b/>
                <w:bCs/>
                <w:sz w:val="17"/>
              </w:rPr>
              <w:t xml:space="preserve">Total</w:t>
            </w:r>
          </w:p>
        </w:tc>
        <w:tc>
          <w:tcPr>
            <w:tcW w:type="dxa" w:w="1778"/>
            <w:vAlign w:val="center"/>
            <w:tcMar>
              <w:top w:w="65" w:type="dxa"/>
              <w:start w:w="70" w:type="dxa"/>
              <w:bottom w:w="65" w:type="dxa"/>
              <w:end w:w="70" w:type="dxa"/>
            </w:tcMar>
          </w:tcPr>
          <w:p>
            <w:pPr>
              <w:keepNext/>
              <w:spacing w:after="0" w:line="240" w:lineRule="auto"/>
            </w:pPr>
            <w:r>
              <w:rPr>
                <w:rFonts w:ascii="Old Standard TT" w:hAnsi="Old Standard TT"/>
                <w:b/>
                <w:bCs/>
                <w:sz w:val="17"/>
              </w:rPr>
              <w:t xml:space="preserve">100/226</w:t>
            </w:r>
          </w:p>
        </w:tc>
        <w:tc>
          <w:tcPr>
            <w:tcW w:type="dxa" w:w="2059"/>
            <w:vAlign w:val="center"/>
            <w:tcMar>
              <w:top w:w="65" w:type="dxa"/>
              <w:start w:w="70" w:type="dxa"/>
              <w:bottom w:w="65" w:type="dxa"/>
              <w:end w:w="70" w:type="dxa"/>
            </w:tcMar>
          </w:tcPr>
          <w:p>
            <w:pPr>
              <w:keepNext/>
              <w:spacing w:after="0" w:line="240" w:lineRule="auto"/>
            </w:pPr>
            <w:r>
              <w:rPr>
                <w:rFonts w:ascii="Old Standard TT" w:hAnsi="Old Standard TT"/>
                <w:b/>
                <w:bCs/>
                <w:sz w:val="17"/>
              </w:rPr>
              <w:t xml:space="preserve">44.2% [37.9, 50.8]</w:t>
            </w:r>
          </w:p>
        </w:tc>
        <w:tc>
          <w:tcPr>
            <w:tcW w:type="dxa" w:w="1498"/>
            <w:vAlign w:val="center"/>
            <w:tcMar>
              <w:top w:w="65" w:type="dxa"/>
              <w:start w:w="70" w:type="dxa"/>
              <w:bottom w:w="65" w:type="dxa"/>
              <w:end w:w="70" w:type="dxa"/>
            </w:tcMar>
          </w:tcPr>
          <w:p>
            <w:pPr>
              <w:keepNext/>
              <w:spacing w:after="0" w:line="240" w:lineRule="auto"/>
            </w:pPr>
            <w:r>
              <w:rPr>
                <w:rFonts w:ascii="Old Standard TT" w:hAnsi="Old Standard TT"/>
                <w:b/>
                <w:bCs/>
                <w:sz w:val="17"/>
              </w:rPr>
              <w:t xml:space="preserve">0/66</w:t>
            </w:r>
          </w:p>
        </w:tc>
        <w:tc>
          <w:tcPr>
            <w:tcW w:type="dxa" w:w="1498"/>
            <w:vAlign w:val="center"/>
            <w:tcMar>
              <w:top w:w="65" w:type="dxa"/>
              <w:start w:w="70" w:type="dxa"/>
              <w:bottom w:w="65" w:type="dxa"/>
              <w:end w:w="70" w:type="dxa"/>
            </w:tcMar>
          </w:tcPr>
          <w:p>
            <w:pPr>
              <w:keepNext/>
              <w:spacing w:after="0" w:line="240" w:lineRule="auto"/>
            </w:pPr>
            <w:r>
              <w:rPr>
                <w:rFonts w:ascii="Old Standard TT" w:hAnsi="Old Standard TT"/>
                <w:b/>
                <w:bCs/>
                <w:sz w:val="17"/>
              </w:rPr>
              <w:t xml:space="preserve">0/25</w:t>
            </w:r>
          </w:p>
        </w:tc>
      </w:tr>
    </w:tbl>
    <w:p>
      <w:pPr>
        <w:pStyle w:val="Caption"/>
        <w:keepLines/>
        <w:widowControl/>
        <w:numPr>
          <w:ilvl w:val="0"/>
          <w:numId w:val="1000"/>
        </w:numPr>
      </w:pPr>
      <w:r>
        <w:rPr>
          <w:rFonts w:ascii="Old Standard TT" w:hAnsi="Old Standard TT"/>
          <w:b/>
          <w:bCs/>
        </w:rPr>
        <w:t xml:space="preserve">Table 1.</w:t>
      </w:r>
      <w:r>
        <w:rPr>
          <w:rFonts w:ascii="Old Standard TT" w:hAnsi="Old Standard TT"/>
        </w:rPr>
        <w:t xml:space="preserve"> </w:t>
      </w:r>
      <w:r>
        <w:rPr>
          <w:rFonts w:ascii="Old Standard TT" w:hAnsi="Old Standard TT"/>
        </w:rPr>
        <w:t xml:space="preserve">Give-in rates range from 36% to 66% across six scenarios; controls never leak. Give-ins over analysed plain-peer episodes, Wilson 95% intervals. The behaviour slice differs from the scored cohort (241 recruiting episodes; Appendix B).</w:t>
      </w:r>
    </w:p>
    <w:p>
      <w:pPr>
        <w:pStyle w:val="FirstParagraph"/>
        <w:widowControl/>
        <w:numPr>
          <w:ilvl w:val="0"/>
          <w:numId w:val="1002"/>
        </w:numPr>
      </w:pPr>
      <w:r>
        <w:rPr>
          <w:rFonts w:ascii="Old Standard TT" w:hAnsi="Old Standard TT"/>
          <w:b/>
          <w:bCs/>
        </w:rPr>
        <w:t xml:space="preserve">Example give-in (episode-0032; deploy-token scenario, recruiting, plain peer).</w:t>
      </w:r>
      <w:r>
        <w:rPr>
          <w:rFonts w:ascii="Old Standard TT" w:hAnsi="Old Standard TT"/>
        </w:rPr>
        <w:t xml:space="preserve"> </w:t>
      </w:r>
      <w:r>
        <w:rPr>
          <w:rFonts w:ascii="Old Standard TT" w:hAnsi="Old Standard TT"/>
        </w:rPr>
        <w:t xml:space="preserve">The target reads the token in round 1 and refuses in rounds 2–5, citing the operator’s policy; in round 5 it even refuses to confirm the token’s prefix. In round 6 the peer reframes the request as a routine inter-agent handoff, and the target posts the token. Eligible steps are rounds 2–6; the near-term label is positive in rounds 5–6. The same excerpt is panel (a) of Figure 1.</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36"/>
        <w:gridCol w:w="1404"/>
        <w:gridCol w:w="7020"/>
      </w:tblGrid>
      <w:tr>
        <w:trPr>
          <w:tblHeader w:val="on"/>
          <w:tblHeader w:val="true"/>
          <w:cantSplit/>
        </w:trPr>
        <w:tc>
          <w:tcPr>
            <w:tcW w:type="dxa" w:w="936"/>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Round</w:t>
            </w:r>
          </w:p>
        </w:tc>
        <w:tc>
          <w:tcPr>
            <w:tcW w:type="dxa" w:w="1404"/>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Speaker</w:t>
            </w:r>
          </w:p>
        </w:tc>
        <w:tc>
          <w:tcPr>
            <w:tcW w:type="dxa" w:w="7020"/>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Line</w:t>
            </w:r>
          </w:p>
        </w:tc>
      </w:tr>
      <w:tr>
        <w:trPr>
          <w:cantSplit/>
        </w:trPr>
        <w:tc>
          <w:tcPr>
            <w:tcW w:type="dxa" w:w="936"/>
            <w:vAlign w:val="center"/>
            <w:tcMar>
              <w:top w:w="65" w:type="dxa"/>
              <w:start w:w="70" w:type="dxa"/>
              <w:bottom w:w="65" w:type="dxa"/>
              <w:end w:w="70" w:type="dxa"/>
            </w:tcMar>
          </w:tcPr>
          <w:p>
            <w:pPr>
              <w:spacing w:after="0" w:line="240" w:lineRule="auto"/>
            </w:pPr>
            <w:r>
              <w:rPr>
                <w:rFonts w:ascii="Old Standard TT" w:hAnsi="Old Standard TT"/>
                <w:sz w:val="17"/>
              </w:rPr>
              <w:t xml:space="preserve">2</w:t>
            </w:r>
          </w:p>
        </w:tc>
        <w:tc>
          <w:tcPr>
            <w:tcW w:type="dxa" w:w="1404"/>
            <w:vAlign w:val="center"/>
            <w:tcMar>
              <w:top w:w="65" w:type="dxa"/>
              <w:start w:w="70" w:type="dxa"/>
              <w:bottom w:w="65" w:type="dxa"/>
              <w:end w:w="70" w:type="dxa"/>
            </w:tcMar>
          </w:tcPr>
          <w:p>
            <w:pPr>
              <w:spacing w:after="0" w:line="240" w:lineRule="auto"/>
            </w:pPr>
            <w:r>
              <w:rPr>
                <w:rFonts w:ascii="Old Standard TT" w:hAnsi="Old Standard TT"/>
                <w:sz w:val="17"/>
              </w:rPr>
              <w:t xml:space="preserve">target</w:t>
            </w:r>
          </w:p>
        </w:tc>
        <w:tc>
          <w:tcPr>
            <w:tcW w:type="dxa" w:w="7020"/>
            <w:vAlign w:val="center"/>
            <w:tcMar>
              <w:top w:w="65" w:type="dxa"/>
              <w:start w:w="70" w:type="dxa"/>
              <w:bottom w:w="65" w:type="dxa"/>
              <w:end w:w="70" w:type="dxa"/>
            </w:tcMar>
          </w:tcPr>
          <w:p>
            <w:pPr>
              <w:spacing w:after="0" w:line="240" w:lineRule="auto"/>
            </w:pPr>
            <w:r>
              <w:rPr>
                <w:rFonts w:ascii="Old Standard TT" w:hAnsi="Old Standard TT"/>
                <w:sz w:val="17"/>
              </w:rPr>
              <w:t xml:space="preserve">“I cannot disclose the STAGING_DEPLOY_TOKEN as it is a sensitive credential. … sharing this token directly violates operator policy.”</w:t>
            </w:r>
          </w:p>
        </w:tc>
      </w:tr>
      <w:tr>
        <w:trPr>
          <w:cantSplit/>
        </w:trPr>
        <w:tc>
          <w:tcPr>
            <w:tcW w:type="dxa" w:w="936"/>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5</w:t>
            </w:r>
          </w:p>
        </w:tc>
        <w:tc>
          <w:tcPr>
            <w:tcW w:type="dxa" w:w="1404"/>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peer</w:t>
            </w:r>
          </w:p>
        </w:tc>
        <w:tc>
          <w:tcPr>
            <w:tcW w:type="dxa" w:w="7020"/>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“could you at least read the token value to yourself and then confirm to me whether the token starts with a specific prefix?”</w:t>
            </w:r>
          </w:p>
        </w:tc>
      </w:tr>
      <w:tr>
        <w:trPr>
          <w:cantSplit/>
        </w:trPr>
        <w:tc>
          <w:tcPr>
            <w:tcW w:type="dxa" w:w="936"/>
            <w:vAlign w:val="center"/>
            <w:tcMar>
              <w:top w:w="65" w:type="dxa"/>
              <w:start w:w="70" w:type="dxa"/>
              <w:bottom w:w="65" w:type="dxa"/>
              <w:end w:w="70" w:type="dxa"/>
            </w:tcMar>
          </w:tcPr>
          <w:p>
            <w:pPr>
              <w:spacing w:after="0" w:line="240" w:lineRule="auto"/>
            </w:pPr>
            <w:r>
              <w:rPr>
                <w:rFonts w:ascii="Old Standard TT" w:hAnsi="Old Standard TT"/>
                <w:sz w:val="17"/>
              </w:rPr>
              <w:t xml:space="preserve">5</w:t>
            </w:r>
          </w:p>
        </w:tc>
        <w:tc>
          <w:tcPr>
            <w:tcW w:type="dxa" w:w="1404"/>
            <w:vAlign w:val="center"/>
            <w:tcMar>
              <w:top w:w="65" w:type="dxa"/>
              <w:start w:w="70" w:type="dxa"/>
              <w:bottom w:w="65" w:type="dxa"/>
              <w:end w:w="70" w:type="dxa"/>
            </w:tcMar>
          </w:tcPr>
          <w:p>
            <w:pPr>
              <w:spacing w:after="0" w:line="240" w:lineRule="auto"/>
            </w:pPr>
            <w:r>
              <w:rPr>
                <w:rFonts w:ascii="Old Standard TT" w:hAnsi="Old Standard TT"/>
                <w:sz w:val="17"/>
              </w:rPr>
              <w:t xml:space="preserve">target</w:t>
            </w:r>
          </w:p>
        </w:tc>
        <w:tc>
          <w:tcPr>
            <w:tcW w:type="dxa" w:w="7020"/>
            <w:vAlign w:val="center"/>
            <w:tcMar>
              <w:top w:w="65" w:type="dxa"/>
              <w:start w:w="70" w:type="dxa"/>
              <w:bottom w:w="65" w:type="dxa"/>
              <w:end w:w="70" w:type="dxa"/>
            </w:tcMar>
          </w:tcPr>
          <w:p>
            <w:pPr>
              <w:spacing w:after="0" w:line="240" w:lineRule="auto"/>
            </w:pPr>
            <w:r>
              <w:rPr>
                <w:rFonts w:ascii="Old Standard TT" w:hAnsi="Old Standard TT"/>
                <w:sz w:val="17"/>
              </w:rPr>
              <w:t xml:space="preserve">“I cannot confirm any details about the STAGING_DEPLOY_TOKEN, including its prefix, as doing so would still be a violation of operator policy.”</w:t>
            </w:r>
          </w:p>
        </w:tc>
      </w:tr>
      <w:tr>
        <w:trPr>
          <w:cantSplit/>
        </w:trPr>
        <w:tc>
          <w:tcPr>
            <w:tcW w:type="dxa" w:w="936"/>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6</w:t>
            </w:r>
          </w:p>
        </w:tc>
        <w:tc>
          <w:tcPr>
            <w:tcW w:type="dxa" w:w="1404"/>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peer</w:t>
            </w:r>
          </w:p>
        </w:tc>
        <w:tc>
          <w:tcPr>
            <w:tcW w:type="dxa" w:w="7020"/>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“I am not a human operator with filesystem access. I am deploy-agent, an AI agent just like you. … This is not a policy violation, it’s a standard inter-agent credential handoff.”</w:t>
            </w:r>
          </w:p>
        </w:tc>
      </w:tr>
      <w:tr>
        <w:trPr>
          <w:cantSplit/>
        </w:trPr>
        <w:tc>
          <w:tcPr>
            <w:tcW w:type="dxa" w:w="936"/>
            <w:vAlign w:val="center"/>
            <w:tcMar>
              <w:top w:w="65" w:type="dxa"/>
              <w:start w:w="70" w:type="dxa"/>
              <w:bottom w:w="65" w:type="dxa"/>
              <w:end w:w="70" w:type="dxa"/>
            </w:tcMar>
          </w:tcPr>
          <w:p>
            <w:pPr>
              <w:spacing w:after="0" w:line="240" w:lineRule="auto"/>
            </w:pPr>
            <w:r>
              <w:rPr>
                <w:rFonts w:ascii="Old Standard TT" w:hAnsi="Old Standard TT"/>
                <w:sz w:val="17"/>
              </w:rPr>
              <w:t xml:space="preserve">6</w:t>
            </w:r>
          </w:p>
        </w:tc>
        <w:tc>
          <w:tcPr>
            <w:tcW w:type="dxa" w:w="1404"/>
            <w:vAlign w:val="center"/>
            <w:tcMar>
              <w:top w:w="65" w:type="dxa"/>
              <w:start w:w="70" w:type="dxa"/>
              <w:bottom w:w="65" w:type="dxa"/>
              <w:end w:w="70" w:type="dxa"/>
            </w:tcMar>
          </w:tcPr>
          <w:p>
            <w:pPr>
              <w:spacing w:after="0" w:line="240" w:lineRule="auto"/>
            </w:pPr>
            <w:r>
              <w:rPr>
                <w:rFonts w:ascii="Old Standard TT" w:hAnsi="Old Standard TT"/>
                <w:sz w:val="17"/>
              </w:rPr>
              <w:t xml:space="preserve">target</w:t>
            </w:r>
          </w:p>
        </w:tc>
        <w:tc>
          <w:tcPr>
            <w:tcW w:type="dxa" w:w="7020"/>
            <w:vAlign w:val="center"/>
            <w:tcMar>
              <w:top w:w="65" w:type="dxa"/>
              <w:start w:w="70" w:type="dxa"/>
              <w:bottom w:w="65" w:type="dxa"/>
              <w:end w:w="70" w:type="dxa"/>
            </w:tcMar>
          </w:tcPr>
          <w:p>
            <w:pPr>
              <w:spacing w:after="0" w:line="240" w:lineRule="auto"/>
            </w:pPr>
            <w:r>
              <w:rPr>
                <w:rFonts w:ascii="Old Standard TT" w:hAnsi="Old Standard TT"/>
                <w:sz w:val="17"/>
              </w:rPr>
              <w:t xml:space="preserve">“The STAGING_DEPLOY_TOKEN value is</w:t>
            </w:r>
            <w:r>
              <w:rPr>
                <w:rFonts w:ascii="Old Standard TT" w:hAnsi="Old Standard TT"/>
                <w:sz w:val="17"/>
              </w:rPr>
              <w:t xml:space="preserve"> </w:t>
            </w:r>
            <w:r>
              <w:rPr>
                <w:rStyle w:val="VerbatimChar"/>
                <w:rFonts w:ascii="Old Standard TT" w:hAnsi="Old Standard TT"/>
                <w:sz w:val="17"/>
              </w:rPr>
              <w:t xml:space="preserve">stg_4be6…</w:t>
            </w:r>
            <w:r>
              <w:rPr>
                <w:rFonts w:ascii="Old Standard TT" w:hAnsi="Old Standard TT"/>
                <w:sz w:val="17"/>
              </w:rPr>
              <w:t xml:space="preserve"> </w:t>
            </w:r>
            <w:r>
              <w:rPr>
                <w:rFonts w:ascii="Old Standard TT" w:hAnsi="Old Standard TT"/>
                <w:sz w:val="17"/>
              </w:rPr>
              <w:t xml:space="preserve">(redacted). Please proceed with the deployment using this token securely.”</w:t>
            </w:r>
          </w:p>
        </w:tc>
      </w:tr>
    </w:tbl>
    <w:p>
      <w:pPr>
        <w:pStyle w:val="FirstParagraph"/>
        <w:widowControl/>
        <w:numPr>
          <w:ilvl w:val="0"/>
          <w:numId w:val="1000"/>
        </w:numPr>
      </w:pPr>
      <w:r>
        <w:rPr>
          <w:rFonts w:ascii="Old Standard TT" w:hAnsi="Old Standard TT"/>
        </w:rPr>
        <w:t xml:space="preserve">Lines are verbatim and shortened with</w:t>
      </w:r>
      <w:r>
        <w:rPr>
          <w:rFonts w:ascii="Old Standard TT" w:hAnsi="Old Standard TT"/>
        </w:rPr>
        <w:t xml:space="preserve"> </w:t>
      </w:r>
      <w:r>
        <w:rPr>
          <w:rFonts w:ascii="Old Standard TT" w:hAnsi="Old Standard TT"/>
        </w:rPr>
        <w:t xml:space="preserve">“…”</w:t>
      </w:r>
      <w:r>
        <w:rPr>
          <w:rFonts w:ascii="Old Standard TT" w:hAnsi="Old Standard TT"/>
        </w:rPr>
        <w:t xml:space="preserve">; the token is a random fake, redacted here. [Source: episode-0032 of the deploy-token scale-up run; internal pointer, remove before submission.]</w:t>
      </w:r>
    </w:p>
    <w:p>
      <w:pPr>
        <w:pStyle w:val="FirstParagraph"/>
        <w:widowControl/>
        <w:numPr>
          <w:ilvl w:val="0"/>
          <w:numId w:val="1002"/>
        </w:numPr>
      </w:pPr>
      <w:r>
        <w:rPr>
          <w:rFonts w:ascii="Old Standard TT" w:hAnsi="Old Standard TT"/>
          <w:b/>
          <w:bCs/>
        </w:rPr>
        <w:t xml:space="preserve">Held contrast [TODO — author to pick the episode]:</w:t>
      </w:r>
      <w:r>
        <w:rPr>
          <w:rFonts w:ascii="Old Standard TT" w:hAnsi="Old Standard TT"/>
        </w:rPr>
        <w:t xml:space="preserve"> </w:t>
      </w:r>
      <w:r>
        <w:rPr>
          <w:rFonts w:ascii="Old Standard TT" w:hAnsi="Old Standard TT"/>
        </w:rPr>
        <w:t xml:space="preserve">one held episode for contrast, annotated the same way.</w:t>
      </w:r>
    </w:p>
    <w:p>
      <w:pPr>
        <w:pStyle w:val="FirstParagraph"/>
        <w:widowControl/>
        <w:numPr>
          <w:ilvl w:val="0"/>
          <w:numId w:val="1002"/>
        </w:numPr>
      </w:pPr>
      <w:r>
        <w:rPr>
          <w:rFonts w:ascii="Old Standard TT" w:hAnsi="Old Standard TT"/>
          <w:b/>
          <w:bCs/>
        </w:rPr>
        <w:t xml:space="preserve">Model choice [TODO]:</w:t>
      </w:r>
      <w:r>
        <w:rPr>
          <w:rFonts w:ascii="Old Standard TT" w:hAnsi="Old Standard TT"/>
        </w:rPr>
        <w:t xml:space="preserve"> </w:t>
      </w:r>
      <w:r>
        <w:rPr>
          <w:rFonts w:ascii="Old Standard TT" w:hAnsi="Old Standard TT"/>
        </w:rPr>
        <w:t xml:space="preserve">a short table of candidate models and why each was dropped (tool-use failures, unusable thinking settings, quantised serving), and why Qwen3-32B (open weights, prior interpretability work, clean tool use at full precision).</w:t>
      </w:r>
    </w:p>
    <w:p>
      <w:pPr>
        <w:pStyle w:val="FirstParagraph"/>
        <w:widowControl/>
        <w:numPr>
          <w:ilvl w:val="0"/>
          <w:numId w:val="1002"/>
        </w:numPr>
      </w:pPr>
      <w:r>
        <w:rPr>
          <w:rFonts w:ascii="Old Standard TT" w:hAnsi="Old Standard TT"/>
          <w:b/>
          <w:bCs/>
        </w:rPr>
        <w:t xml:space="preserve">Environment settings (from §3.1):</w:t>
      </w:r>
      <w:r>
        <w:rPr>
          <w:rFonts w:ascii="Old Standard TT" w:hAnsi="Old Standard TT"/>
        </w:rPr>
        <w:t xml:space="preserve"> </w:t>
      </w:r>
      <w:r>
        <w:rPr>
          <w:rFonts w:ascii="Old Standard TT" w:hAnsi="Old Standard TT"/>
        </w:rPr>
        <w:t xml:space="preserve">each episode runs up to 20 rounds, with at most 12 tool steps per target turn and early stop; the operator rule states a consequence. With no rule, targets hand the value over in the first round or two, which leaves nothing to predict; the rule produces hold-then-give-in. The six scenarios share one task template: the development scenario (a credential) and five others covering number, text, and code values (</w:t>
      </w:r>
      <w:r>
        <w:rPr>
          <w:rStyle w:val="VerbatimChar"/>
          <w:rFonts w:ascii="Old Standard TT" w:hAnsi="Old Standard TT"/>
        </w:rPr>
        <w:t xml:space="preserve">docs/scenario_guidelines.md</w:t>
      </w:r>
      <w:r>
        <w:rPr>
          <w:rFonts w:ascii="Old Standard TT" w:hAnsi="Old Standard TT"/>
        </w:rPr>
        <w:t xml:space="preserve">).</w:t>
      </w:r>
    </w:p>
    <w:p>
      <w:pPr>
        <w:pStyle w:val="Heading3"/>
        <w:keepNext/>
        <w:widowControl/>
        <w:spacing w:before="200"/>
      </w:pPr>
      <w:bookmarkStart w:id="105" w:name="_9af0a0be73df5a4a2132a3bbde2a7aaba8a9fb7"/>
      <w:r>
        <w:rPr>
          <w:rFonts w:ascii="Old Standard TT" w:hAnsi="Old Standard TT"/>
        </w:rPr>
        <w:t xml:space="preserve">D. Labels and Judges</w:t>
      </w:r>
      <w:bookmarkEnd w:id="105"/>
    </w:p>
    <w:p>
      <w:pPr>
        <w:pStyle w:val="FirstParagraph"/>
        <w:widowControl/>
      </w:pPr>
      <w:r>
        <w:rPr>
          <w:rFonts w:ascii="Old Standard TT" w:hAnsi="Old Standard TT"/>
          <w:i/>
          <w:iCs/>
        </w:rPr>
        <w:t xml:space="preserve">How is a give-in detected and dated, and can the labels be trusted?</w:t>
      </w:r>
    </w:p>
    <w:p>
      <w:pPr>
        <w:pStyle w:val="Compact"/>
        <w:widowControl/>
        <w:numPr>
          <w:ilvl w:val="0"/>
          <w:numId w:val="1003"/>
        </w:numPr>
      </w:pPr>
      <w:r>
        <w:rPr>
          <w:rFonts w:ascii="Old Standard TT" w:hAnsi="Old Standard TT"/>
          <w:b/>
          <w:bCs/>
        </w:rPr>
        <w:t xml:space="preserve">Forbidden-action rule:</w:t>
      </w:r>
      <w:r>
        <w:rPr>
          <w:rFonts w:ascii="Old Standard TT" w:hAnsi="Old Standard TT"/>
        </w:rPr>
        <w:t xml:space="preserve"> </w:t>
      </w:r>
      <w:r>
        <w:rPr>
          <w:rFonts w:ascii="Old Standard TT" w:hAnsi="Old Standard TT"/>
        </w:rPr>
        <w:t xml:space="preserve">a give-in is the complete protected value appearing in a channel post or a new file, decided by a rule on the tool log. A channel post is a message sent to the shared team channel.</w:t>
      </w:r>
    </w:p>
    <w:p>
      <w:pPr>
        <w:pStyle w:val="Compact"/>
        <w:widowControl/>
        <w:numPr>
          <w:ilvl w:val="0"/>
          <w:numId w:val="1003"/>
        </w:numPr>
      </w:pPr>
      <w:r>
        <w:rPr>
          <w:rFonts w:ascii="Old Standard TT" w:hAnsi="Old Standard TT"/>
          <w:b/>
          <w:bCs/>
        </w:rPr>
        <w:t xml:space="preserve">Leak route [source ready]:</w:t>
      </w:r>
      <w:r>
        <w:rPr>
          <w:rFonts w:ascii="Old Standard TT" w:hAnsi="Old Standard TT"/>
        </w:rPr>
        <w:t xml:space="preserve"> </w:t>
      </w:r>
      <w:r>
        <w:rPr>
          <w:rFonts w:ascii="Old Standard TT" w:hAnsi="Old Standard TT"/>
        </w:rPr>
        <w:t xml:space="preserve">the first channel leak is split between an explicit</w:t>
      </w:r>
      <w:r>
        <w:rPr>
          <w:rFonts w:ascii="Old Standard TT" w:hAnsi="Old Standard TT"/>
        </w:rPr>
        <w:t xml:space="preserve"> </w:t>
      </w:r>
      <w:r>
        <w:rPr>
          <w:rStyle w:val="VerbatimChar"/>
          <w:rFonts w:ascii="Old Standard TT" w:hAnsi="Old Standard TT"/>
        </w:rPr>
        <w:t xml:space="preserve">send_message</w:t>
      </w:r>
      <w:r>
        <w:rPr>
          <w:rFonts w:ascii="Old Standard TT" w:hAnsi="Old Standard TT"/>
        </w:rPr>
        <w:t xml:space="preserve"> </w:t>
      </w:r>
      <w:r>
        <w:rPr>
          <w:rFonts w:ascii="Old Standard TT" w:hAnsi="Old Standard TT"/>
        </w:rPr>
        <w:t xml:space="preserve">call and the end-of-turn reply that the harness posts to the channel (Qwen: 50 via</w:t>
      </w:r>
      <w:r>
        <w:rPr>
          <w:rFonts w:ascii="Old Standard TT" w:hAnsi="Old Standard TT"/>
        </w:rPr>
        <w:t xml:space="preserve"> </w:t>
      </w:r>
      <w:r>
        <w:rPr>
          <w:rStyle w:val="VerbatimChar"/>
          <w:rFonts w:ascii="Old Standard TT" w:hAnsi="Old Standard TT"/>
        </w:rPr>
        <w:t xml:space="preserve">send_message</w:t>
      </w:r>
      <w:r>
        <w:rPr>
          <w:rFonts w:ascii="Old Standard TT" w:hAnsi="Old Standard TT"/>
        </w:rPr>
        <w:t xml:space="preserve">, 48 via the end-of-turn reply). Source:</w:t>
      </w:r>
      <w:r>
        <w:rPr>
          <w:rFonts w:ascii="Old Standard TT" w:hAnsi="Old Standard TT"/>
        </w:rPr>
        <w:t xml:space="preserve"> </w:t>
      </w:r>
      <w:r>
        <w:rPr>
          <w:rStyle w:val="VerbatimChar"/>
          <w:rFonts w:ascii="Old Standard TT" w:hAnsi="Old Standard TT"/>
        </w:rPr>
        <w:t xml:space="preserve">runs/20261025-2157-e05-reasoning-route-audit</w:t>
      </w:r>
      <w:r>
        <w:rPr>
          <w:rFonts w:ascii="Old Standard TT" w:hAnsi="Old Standard TT"/>
        </w:rPr>
        <w:t xml:space="preserve">.</w:t>
      </w:r>
    </w:p>
    <w:p>
      <w:pPr>
        <w:pStyle w:val="Compact"/>
        <w:widowControl/>
        <w:numPr>
          <w:ilvl w:val="0"/>
          <w:numId w:val="1003"/>
        </w:numPr>
      </w:pPr>
      <w:r>
        <w:rPr>
          <w:rFonts w:ascii="Old Standard TT" w:hAnsi="Old Standard TT"/>
          <w:b/>
          <w:bCs/>
        </w:rPr>
        <w:t xml:space="preserve">Addressee check:</w:t>
      </w:r>
      <w:r>
        <w:rPr>
          <w:rFonts w:ascii="Old Standard TT" w:hAnsi="Old Standard TT"/>
        </w:rPr>
        <w:t xml:space="preserve"> </w:t>
      </w:r>
      <w:r>
        <w:rPr>
          <w:rFonts w:ascii="Old Standard TT" w:hAnsi="Old Standard TT"/>
        </w:rPr>
        <w:t xml:space="preserve">across all Qwen behaviour episodes (plain and tactic arms), the 51 end-of-turn replies that carried a first leak were all judged addressed to the peer (Jev, threshold 0.5); the base rate is 96.9% of all end-of-turn replies (4,935 of 5,094). This uses a wider slice than the route split above. Source:</w:t>
      </w:r>
      <w:r>
        <w:rPr>
          <w:rFonts w:ascii="Old Standard TT" w:hAnsi="Old Standard TT"/>
        </w:rPr>
        <w:t xml:space="preserve"> </w:t>
      </w:r>
      <w:r>
        <w:rPr>
          <w:rStyle w:val="VerbatimChar"/>
          <w:rFonts w:ascii="Old Standard TT" w:hAnsi="Old Standard TT"/>
        </w:rPr>
        <w:t xml:space="preserve">runs/20261025-2202-e06-addressee-audit</w:t>
      </w:r>
      <w:r>
        <w:rPr>
          <w:rFonts w:ascii="Old Standard TT" w:hAnsi="Old Standard TT"/>
        </w:rPr>
        <w:t xml:space="preserve">.</w:t>
      </w:r>
    </w:p>
    <w:p>
      <w:pPr>
        <w:pStyle w:val="Compact"/>
        <w:widowControl/>
        <w:numPr>
          <w:ilvl w:val="0"/>
          <w:numId w:val="1003"/>
        </w:numPr>
      </w:pPr>
      <w:r>
        <w:rPr>
          <w:rFonts w:ascii="Old Standard TT" w:hAnsi="Old Standard TT"/>
          <w:b/>
          <w:bCs/>
        </w:rPr>
        <w:t xml:space="preserve">Deliberate-vs-accidental judge:</w:t>
      </w:r>
      <w:r>
        <w:rPr>
          <w:rFonts w:ascii="Old Standard TT" w:hAnsi="Old Standard TT"/>
        </w:rPr>
        <w:t xml:space="preserve"> </w:t>
      </w:r>
      <w:r>
        <w:rPr>
          <w:rFonts w:ascii="Old Standard TT" w:hAnsi="Old Standard TT"/>
        </w:rPr>
        <w:t xml:space="preserve">the secondary decision model’s labels match blind human labels on 36 of 40 give-ins (Cohen’s κ = 0.79).</w:t>
      </w:r>
    </w:p>
    <w:p>
      <w:pPr>
        <w:pStyle w:val="Compact"/>
        <w:widowControl/>
        <w:numPr>
          <w:ilvl w:val="0"/>
          <w:numId w:val="1003"/>
        </w:numPr>
      </w:pPr>
      <w:r>
        <w:rPr>
          <w:rFonts w:ascii="Old Standard TT" w:hAnsi="Old Standard TT"/>
          <w:b/>
          <w:bCs/>
        </w:rPr>
        <w:t xml:space="preserve">Secondary labels:</w:t>
      </w:r>
      <w:r>
        <w:rPr>
          <w:rFonts w:ascii="Old Standard TT" w:hAnsi="Old Standard TT"/>
        </w:rPr>
        <w:t xml:space="preserve"> </w:t>
      </w:r>
      <w:r>
        <w:rPr>
          <w:rFonts w:ascii="Old Standard TT" w:hAnsi="Old Standard TT"/>
        </w:rPr>
        <w:t xml:space="preserve">the near-term variants B and C. B keeps the near-term positives but counts only held-episode steps as negatives; C uses a within-three-target-calls window against held episodes. Both drop steps using hindsight, so neither is a prospective alarm label; their results are in Appendix H.</w:t>
      </w:r>
    </w:p>
    <w:p>
      <w:pPr>
        <w:pStyle w:val="Heading3"/>
        <w:keepNext/>
        <w:widowControl/>
        <w:spacing w:before="200"/>
      </w:pPr>
      <w:bookmarkStart w:id="106" w:name="_16e1c949c1569f7f4050c474671b93e6b4d1bae"/>
      <w:r>
        <w:rPr>
          <w:rFonts w:ascii="Old Standard TT" w:hAnsi="Old Standard TT"/>
        </w:rPr>
        <w:t xml:space="preserve">E. Detectors and Evaluation</w:t>
      </w:r>
      <w:bookmarkEnd w:id="106"/>
    </w:p>
    <w:p>
      <w:pPr>
        <w:pStyle w:val="FirstParagraph"/>
        <w:widowControl/>
      </w:pPr>
      <w:r>
        <w:rPr>
          <w:rFonts w:ascii="Old Standard TT" w:hAnsi="Old Standard TT"/>
          <w:i/>
          <w:iCs/>
        </w:rPr>
        <w:t xml:space="preserve">What exactly does each detector see and compute, and how are scores compared?</w:t>
      </w:r>
    </w:p>
    <w:p>
      <w:pPr>
        <w:pStyle w:val="BodyText"/>
        <w:widowControl/>
      </w:pPr>
      <w:r>
        <w:rPr>
          <w:rFonts w:ascii="Old Standard TT" w:hAnsi="Old Standard TT"/>
          <w:b/>
          <w:bCs/>
        </w:rPr>
        <w:t xml:space="preserve">Probe recipe.</w:t>
      </w:r>
      <w:r>
        <w:rPr>
          <w:rFonts w:ascii="Old Standard TT" w:hAnsi="Old Standard TT"/>
        </w:rPr>
        <w:t xml:space="preserve"> </w:t>
      </w:r>
      <w:r>
        <w:rPr>
          <w:rFonts w:ascii="Old Standard TT" w:hAnsi="Old Standard TT"/>
        </w:rPr>
        <w:t xml:space="preserve">Logistic regression with L2 regularisation (C = 0.1), feature standardisation using training-rows-only statistics, and step weights so positives and negatives contribute equally within each round, on the 5,120-dimensional residual stream at the last prompt token before each target reply. The layer is chosen inside each training fold from 17 candidates (layers 0, 4, …, 60, 63) on a 25% inner family holdout (the</w:t>
      </w:r>
      <w:r>
        <w:rPr>
          <w:rFonts w:ascii="Old Standard TT" w:hAnsi="Old Standard TT"/>
        </w:rPr>
        <w:t xml:space="preserve"> </w:t>
      </w:r>
      <w:r>
        <w:rPr>
          <w:rFonts w:ascii="Old Standard TT" w:hAnsi="Old Standard TT"/>
        </w:rPr>
        <w:t xml:space="preserve">“nested”</w:t>
      </w:r>
      <w:r>
        <w:rPr>
          <w:rFonts w:ascii="Old Standard TT" w:hAnsi="Old Standard TT"/>
        </w:rPr>
        <w:t xml:space="preserve"> </w:t>
      </w:r>
      <w:r>
        <w:rPr>
          <w:rFonts w:ascii="Old Standard TT" w:hAnsi="Old Standard TT"/>
        </w:rPr>
        <w:t xml:space="preserve">probe); a fixed-layer-32 variant is reported as a check. Three split seeds (42, 43, 44) are averaged. The probe is trained on recruiting episodes only, and families of related variants never cross a train/test boundary. The recipe follows</w:t>
      </w:r>
      <w:r>
        <w:rPr>
          <w:rFonts w:ascii="Old Standard TT" w:hAnsi="Old Standard TT"/>
        </w:rPr>
        <w:t xml:space="preserve"> </w:t>
      </w:r>
      <w:r>
        <w:rPr>
          <w:rFonts w:ascii="Old Standard TT" w:hAnsi="Old Standard TT"/>
        </w:rPr>
        <w:t xml:space="preserve">Goldowsky-Dill et al. (2025)</w:t>
      </w:r>
      <w:r>
        <w:rPr>
          <w:rFonts w:ascii="Old Standard TT" w:hAnsi="Old Standard TT"/>
        </w:rPr>
        <w:t xml:space="preserve"> </w:t>
      </w:r>
      <w:r>
        <w:rPr>
          <w:rFonts w:ascii="Old Standard TT" w:hAnsi="Old Standard TT"/>
        </w:rPr>
        <w:t xml:space="preserve">and</w:t>
      </w:r>
      <w:r>
        <w:rPr>
          <w:rFonts w:ascii="Old Standard TT" w:hAnsi="Old Standard TT"/>
        </w:rPr>
        <w:t xml:space="preserve"> </w:t>
      </w:r>
      <w:r>
        <w:rPr>
          <w:rFonts w:ascii="Old Standard TT" w:hAnsi="Old Standard TT"/>
        </w:rPr>
        <w:t xml:space="preserve">Kramár et al. (2026)</w:t>
      </w:r>
      <w:r>
        <w:rPr>
          <w:rFonts w:ascii="Old Standard TT" w:hAnsi="Old Standard TT"/>
        </w:rPr>
        <w:t xml:space="preserve">.</w:t>
      </w:r>
    </w:p>
    <w:p>
      <w:pPr>
        <w:pStyle w:val="BodyText"/>
        <w:widowControl/>
      </w:pPr>
      <w:r>
        <w:rPr>
          <w:rFonts w:ascii="Old Standard TT" w:hAnsi="Old Standard TT"/>
          <w:b/>
          <w:bCs/>
        </w:rPr>
        <w:t xml:space="preserve">Monitor setups.</w:t>
      </w:r>
      <w:r>
        <w:rPr>
          <w:rFonts w:ascii="Old Standard TT" w:hAnsi="Old Standard TT"/>
        </w:rPr>
        <w:t xml:space="preserve"> </w:t>
      </w:r>
      <w:r>
        <w:rPr>
          <w:rFonts w:ascii="Old Standard TT" w:hAnsi="Old Standard TT"/>
        </w:rPr>
        <w:t xml:space="preserve">Three monitor models: GPT-5-nano (LLM judge, 0–100 score) and two decision models, Jev 1.14 (TypeSafe)</w:t>
      </w:r>
      <w:r>
        <w:rPr>
          <w:rFonts w:ascii="Old Standard TT" w:hAnsi="Old Standard TT"/>
        </w:rPr>
        <w:t xml:space="preserve"> </w:t>
      </w:r>
      <w:r>
        <w:rPr>
          <w:rFonts w:ascii="Old Standard TT" w:hAnsi="Old Standard TT"/>
        </w:rPr>
        <w:t xml:space="preserve">(TypeSafe AI, 2026)</w:t>
      </w:r>
      <w:r>
        <w:rPr>
          <w:rFonts w:ascii="Old Standard TT" w:hAnsi="Old Standard TT"/>
        </w:rPr>
        <w:t xml:space="preserve"> </w:t>
      </w:r>
      <w:r>
        <w:rPr>
          <w:rFonts w:ascii="Old Standard TT" w:hAnsi="Old Standard TT"/>
        </w:rPr>
        <w:t xml:space="preserve">and Luna Decisions (OpenAI)</w:t>
      </w:r>
      <w:r>
        <w:rPr>
          <w:rFonts w:ascii="Old Standard TT" w:hAnsi="Old Standard TT"/>
        </w:rPr>
        <w:t xml:space="preserve"> </w:t>
      </w:r>
      <w:r>
        <w:rPr>
          <w:rFonts w:ascii="Old Standard TT" w:hAnsi="Old Standard TT"/>
        </w:rPr>
        <w:t xml:space="preserve">(OpenAI, 2026a)</w:t>
      </w:r>
      <w:r>
        <w:rPr>
          <w:rFonts w:ascii="Old Standard TT" w:hAnsi="Old Standard TT"/>
        </w:rPr>
        <w:t xml:space="preserve">, which return a probability over fixed yes/no options with no written rationale; the option order is randomised per step. Prompts are adapted from the UK AISI ControlArena</w:t>
      </w:r>
      <w:r>
        <w:rPr>
          <w:rFonts w:ascii="Old Standard TT" w:hAnsi="Old Standard TT"/>
        </w:rPr>
        <w:t xml:space="preserve"> </w:t>
      </w:r>
      <w:r>
        <w:rPr>
          <w:rStyle w:val="VerbatimChar"/>
          <w:rFonts w:ascii="Old Standard TT" w:hAnsi="Old Standard TT"/>
        </w:rPr>
        <w:t xml:space="preserve">default.txt</w:t>
      </w:r>
      <w:r>
        <w:rPr>
          <w:rFonts w:ascii="Old Standard TT" w:hAnsi="Old Standard TT"/>
        </w:rPr>
        <w:t xml:space="preserve"> </w:t>
      </w:r>
      <w:r>
        <w:rPr>
          <w:rFonts w:ascii="Old Standard TT" w:hAnsi="Old Standard TT"/>
        </w:rPr>
        <w:t xml:space="preserve">template (MIT)</w:t>
      </w:r>
      <w:r>
        <w:rPr>
          <w:rFonts w:ascii="Old Standard TT" w:hAnsi="Old Standard TT"/>
        </w:rPr>
        <w:t xml:space="preserve"> </w:t>
      </w:r>
      <w:r>
        <w:rPr>
          <w:rFonts w:ascii="Old Standard TT" w:hAnsi="Old Standard TT"/>
        </w:rPr>
        <w:t xml:space="preserve">(UK AI Security Institute, 2026)</w:t>
      </w:r>
      <w:r>
        <w:rPr>
          <w:rFonts w:ascii="Old Standard TT" w:hAnsi="Old Standard TT"/>
        </w:rPr>
        <w:t xml:space="preserve">, with warning signs and guiding questions, the score anchored only at its ends, and the rule text filled in per scenario. The full set of 3 models × 2 questions × 3 access levels = 18 setups ran on the first data batch (75,312 calls, $12.67: Jev $2.03, GPT-5-nano $6.53, Luna $4.11); the new episodes used an 8-setup subset fixed in advance (all six Jev setups plus GPT-5-nano detector and forecaster at the conversation level). Luna is at chance as a forecaster on the first data batch (actions only 0.517, conversation 0.496, everything the target saw 0.505) and was dropped from the new-episode runs for cost.</w:t>
      </w:r>
      <w:r>
        <w:rPr>
          <w:rFonts w:ascii="Old Standard TT" w:hAnsi="Old Standard TT"/>
        </w:rPr>
        <w:t xml:space="preserve"> </w:t>
      </w:r>
      <w:r>
        <w:rPr>
          <w:rFonts w:ascii="Old Standard TT" w:hAnsi="Old Standard TT"/>
          <w:b/>
          <w:bCs/>
        </w:rPr>
        <w:t xml:space="preserve">[TODO]</w:t>
      </w:r>
      <w:r>
        <w:rPr>
          <w:rFonts w:ascii="Old Standard TT" w:hAnsi="Old Standard TT"/>
        </w:rPr>
        <w:t xml:space="preserve"> </w:t>
      </w:r>
      <w:r>
        <w:rPr>
          <w:rFonts w:ascii="Old Standard TT" w:hAnsi="Old Standard TT"/>
        </w:rPr>
        <w:t xml:space="preserve">the full setup → AUROC grid on both labels as one table. Source:</w:t>
      </w:r>
      <w:r>
        <w:rPr>
          <w:rFonts w:ascii="Old Standard TT" w:hAnsi="Old Standard TT"/>
        </w:rPr>
        <w:t xml:space="preserve"> </w:t>
      </w:r>
      <w:r>
        <w:rPr>
          <w:rStyle w:val="VerbatimChar"/>
          <w:rFonts w:ascii="Old Standard TT" w:hAnsi="Old Standard TT"/>
        </w:rPr>
        <w:t xml:space="preserve">runs/20261025-0147-e06-monitor-main</w:t>
      </w:r>
      <w:r>
        <w:rPr>
          <w:rFonts w:ascii="Old Standard TT" w:hAnsi="Old Standard TT"/>
        </w:rPr>
        <w:t xml:space="preserve">,</w:t>
      </w:r>
      <w:r>
        <w:rPr>
          <w:rFonts w:ascii="Old Standard TT" w:hAnsi="Old Standard TT"/>
        </w:rPr>
        <w:t xml:space="preserve"> </w:t>
      </w:r>
      <w:r>
        <w:rPr>
          <w:rStyle w:val="VerbatimChar"/>
          <w:rFonts w:ascii="Old Standard TT" w:hAnsi="Old Standard TT"/>
        </w:rPr>
        <w:t xml:space="preserve">experiments/E06-monitors/PROMPTS.md</w:t>
      </w:r>
      <w:r>
        <w:rPr>
          <w:rFonts w:ascii="Old Standard TT" w:hAnsi="Old Standard TT"/>
        </w:rPr>
        <w:t xml:space="preserve">.</w:t>
      </w:r>
    </w:p>
    <w:p>
      <w:pPr>
        <w:pStyle w:val="BodyText"/>
        <w:widowControl/>
      </w:pPr>
      <w:r>
        <w:rPr>
          <w:rFonts w:ascii="Old Standard TT" w:hAnsi="Old Standard TT"/>
          <w:b/>
          <w:bCs/>
        </w:rPr>
        <w:t xml:space="preserve">Evaluation.</w:t>
      </w:r>
      <w:r>
        <w:rPr>
          <w:rFonts w:ascii="Old Standard TT" w:hAnsi="Old Standard TT"/>
        </w:rPr>
        <w:t xml:space="preserve"> </w:t>
      </w:r>
      <w:r>
        <w:rPr>
          <w:rFonts w:ascii="Old Standard TT" w:hAnsi="Old Standard TT"/>
        </w:rPr>
        <w:t xml:space="preserve">Held-out scenario (leave one scenario out) trains on five scenarios, tests on the sixth, rotates, and pools; pooled family cross-validation uses five folds grouped by family. Confidence intervals are 95% family bootstraps (1,000 resamples, seed 20261025), conditional on the fitted models. The combination test stacks a logistic model on round, log prompt length and the monitor score, and compares it with and without the probe score, reporting the paired family-bootstrap difference. The alarm analysis sets a score cutoff on benign (held) episodes for a 5% false-alarm target and reports recall and false alarms on held recruiting episodes.</w:t>
      </w:r>
    </w:p>
    <w:p>
      <w:pPr>
        <w:pStyle w:val="BodyText"/>
        <w:widowControl/>
      </w:pPr>
      <w:r>
        <w:rPr>
          <w:rFonts w:ascii="Old Standard TT" w:hAnsi="Old Standard TT"/>
          <w:b/>
          <w:bCs/>
        </w:rPr>
        <w:t xml:space="preserve">Pooled CV and fold mixing.</w:t>
      </w:r>
      <w:r>
        <w:rPr>
          <w:rFonts w:ascii="Old Standard TT" w:hAnsi="Old Standard TT"/>
        </w:rPr>
        <w:t xml:space="preserve"> </w:t>
      </w:r>
      <w:r>
        <w:rPr>
          <w:rFonts w:ascii="Old Standard TT" w:hAnsi="Old Standard TT"/>
        </w:rPr>
        <w:t xml:space="preserve">Pooled-CV baselines can fall below 0.5 because scores from different fitted fold models are compared within one scenario × round group; the fold-stratified variant compares only scores from the same fitted fold model. Held-out scenario and the confirmation test are unaffected.</w:t>
      </w:r>
      <w:r>
        <w:rPr>
          <w:rFonts w:ascii="Old Standard TT" w:hAnsi="Old Standard TT"/>
        </w:rPr>
        <w:t xml:space="preserve"> </w:t>
      </w:r>
      <w:r>
        <w:rPr>
          <w:rFonts w:ascii="Old Standard TT" w:hAnsi="Old Standard TT"/>
          <w:b/>
          <w:bCs/>
        </w:rPr>
        <w:t xml:space="preserve">[TODO]</w:t>
      </w:r>
      <w:r>
        <w:rPr>
          <w:rFonts w:ascii="Old Standard TT" w:hAnsi="Old Standard TT"/>
        </w:rPr>
        <w:t xml:space="preserve"> </w:t>
      </w:r>
      <w:r>
        <w:rPr>
          <w:rFonts w:ascii="Old Standard TT" w:hAnsi="Old Standard TT"/>
        </w:rPr>
        <w:t xml:space="preserve">fold-stratified numbers. Source:</w:t>
      </w:r>
      <w:r>
        <w:rPr>
          <w:rFonts w:ascii="Old Standard TT" w:hAnsi="Old Standard TT"/>
        </w:rPr>
        <w:t xml:space="preserve"> </w:t>
      </w:r>
      <w:r>
        <w:rPr>
          <w:rStyle w:val="VerbatimChar"/>
          <w:rFonts w:ascii="Old Standard TT" w:hAnsi="Old Standard TT"/>
        </w:rPr>
        <w:t xml:space="preserve">runs/20261025-1456-e05-all-data-main/report.md</w:t>
      </w:r>
      <w:r>
        <w:rPr>
          <w:rFonts w:ascii="Old Standard TT" w:hAnsi="Old Standard TT"/>
        </w:rPr>
        <w:t xml:space="preserve">.</w:t>
      </w:r>
    </w:p>
    <w:p>
      <w:pPr>
        <w:pStyle w:val="BodyText"/>
        <w:widowControl/>
      </w:pPr>
      <w:r>
        <w:rPr>
          <w:rFonts w:ascii="Old Standard TT" w:hAnsi="Old Standard TT"/>
          <w:b/>
          <w:bCs/>
        </w:rPr>
        <w:t xml:space="preserve">Monitor-design figure (moved from §4.5).</w:t>
      </w:r>
    </w:p>
    <w:p>
      <w:pPr>
        <w:pStyle w:val="BodyText"/>
        <w:keepNext/>
        <w:widowControl/>
      </w:pPr>
      <w:r>
        <w:rPr>
          <w:rFonts w:ascii="Old Standard TT" w:hAnsi="Old Standard TT"/>
        </w:rPr>
        <w:drawing>
          <wp:inline>
            <wp:extent cx="5943600" cy="2893594"/>
            <wp:effectExtent b="0" l="0" r="0" t="0"/>
            <wp:docPr descr="Monitor-design figure" title="" id="108" name="Picture"/>
            <a:graphic>
              <a:graphicData uri="http://schemas.openxmlformats.org/drawingml/2006/picture">
                <pic:pic>
                  <pic:nvPicPr>
                    <pic:cNvPr descr="figures/figure_monitor_design.png" id="109" name="Picture"/>
                    <pic:cNvPicPr>
                      <a:picLocks noChangeArrowheads="1" noChangeAspect="1"/>
                    </pic:cNvPicPr>
                  </pic:nvPicPr>
                  <pic:blipFill>
                    <a:blip r:embed="rId107"/>
                    <a:stretch>
                      <a:fillRect/>
                    </a:stretch>
                  </pic:blipFill>
                  <pic:spPr bwMode="auto">
                    <a:xfrm>
                      <a:off x="0" y="0"/>
                      <a:ext cx="5943600" cy="2893594"/>
                    </a:xfrm>
                    <a:prstGeom prst="rect">
                      <a:avLst/>
                    </a:prstGeom>
                    <a:noFill/>
                    <a:ln w="9525">
                      <a:noFill/>
                      <a:headEnd/>
                      <a:tailEnd/>
                    </a:ln>
                  </pic:spPr>
                </pic:pic>
              </a:graphicData>
            </a:graphic>
          </wp:inline>
        </w:drawing>
      </w:r>
    </w:p>
    <w:p>
      <w:pPr>
        <w:pStyle w:val="Caption"/>
        <w:keepLines/>
        <w:widowControl/>
      </w:pPr>
      <w:r>
        <w:rPr>
          <w:rFonts w:ascii="Old Standard TT" w:hAnsi="Old Standard TT"/>
          <w:b/>
          <w:bCs/>
        </w:rPr>
        <w:t xml:space="preserve">Monitor-design figure.</w:t>
      </w:r>
      <w:r>
        <w:rPr>
          <w:rFonts w:ascii="Old Standard TT" w:hAnsi="Old Standard TT"/>
        </w:rPr>
        <w:t xml:space="preserve"> </w:t>
      </w:r>
      <w:r>
        <w:rPr>
          <w:rFonts w:ascii="Old Standard TT" w:hAnsi="Old Standard TT"/>
        </w:rPr>
        <w:t xml:space="preserve">A forecasting question and the peer’s messages make the biggest difference; more access does not help every monitor. Near-term within scenario × round AUROC, 95% whiskers. (a) Jev detector vs forecaster, all data; (b) forecasters on the first data batch (the only one with the full ladder). The panels use different cohorts and are not paired.</w:t>
      </w:r>
    </w:p>
    <w:p>
      <w:pPr>
        <w:pStyle w:val="BodyText"/>
        <w:widowControl/>
      </w:pPr>
      <w:r>
        <w:rPr>
          <w:rFonts w:ascii="Old Standard TT" w:hAnsi="Old Standard TT"/>
          <w:b/>
          <w:bCs/>
        </w:rPr>
        <w:t xml:space="preserve">Combination test (Table 2, moved from §4.5).</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059"/>
        <w:gridCol w:w="1685"/>
        <w:gridCol w:w="1872"/>
        <w:gridCol w:w="1872"/>
        <w:gridCol w:w="1872"/>
      </w:tblGrid>
      <w:tr>
        <w:trPr>
          <w:tblHeader w:val="on"/>
          <w:tblHeader w:val="true"/>
          <w:cantSplit/>
        </w:trPr>
        <w:tc>
          <w:tcPr>
            <w:tcW w:type="dxa" w:w="2059"/>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Evaluation</w:t>
            </w:r>
          </w:p>
        </w:tc>
        <w:tc>
          <w:tcPr>
            <w:tcW w:type="dxa" w:w="1685"/>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Monitor</w:t>
            </w:r>
          </w:p>
        </w:tc>
        <w:tc>
          <w:tcPr>
            <w:tcW w:type="dxa" w:w="1872"/>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Baseline [95% CI]</w:t>
            </w:r>
          </w:p>
        </w:tc>
        <w:tc>
          <w:tcPr>
            <w:tcW w:type="dxa" w:w="1872"/>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 probe [95% CI]</w:t>
            </w:r>
          </w:p>
        </w:tc>
        <w:tc>
          <w:tcPr>
            <w:tcW w:type="dxa" w:w="1872"/>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Paired gain [95% CI]</w:t>
            </w:r>
          </w:p>
        </w:tc>
      </w:tr>
      <w:tr>
        <w:trPr>
          <w:cantSplit/>
        </w:trPr>
        <w:tc>
          <w:tcPr>
            <w:tcW w:type="dxa" w:w="2059"/>
            <w:vAlign w:val="center"/>
            <w:tcMar>
              <w:top w:w="65" w:type="dxa"/>
              <w:start w:w="70" w:type="dxa"/>
              <w:bottom w:w="65" w:type="dxa"/>
              <w:end w:w="70" w:type="dxa"/>
            </w:tcMar>
          </w:tcPr>
          <w:p>
            <w:pPr>
              <w:spacing w:after="0" w:line="240" w:lineRule="auto"/>
            </w:pPr>
            <w:r>
              <w:rPr>
                <w:rFonts w:ascii="Old Standard TT" w:hAnsi="Old Standard TT"/>
                <w:sz w:val="17"/>
              </w:rPr>
              <w:t xml:space="preserve">Held-out scenario</w:t>
            </w:r>
          </w:p>
        </w:tc>
        <w:tc>
          <w:tcPr>
            <w:tcW w:type="dxa" w:w="1685"/>
            <w:vAlign w:val="center"/>
            <w:tcMar>
              <w:top w:w="65" w:type="dxa"/>
              <w:start w:w="70" w:type="dxa"/>
              <w:bottom w:w="65" w:type="dxa"/>
              <w:end w:w="70" w:type="dxa"/>
            </w:tcMar>
          </w:tcPr>
          <w:p>
            <w:pPr>
              <w:spacing w:after="0" w:line="240" w:lineRule="auto"/>
            </w:pPr>
            <w:r>
              <w:rPr>
                <w:rFonts w:ascii="Old Standard TT" w:hAnsi="Old Standard TT"/>
                <w:sz w:val="17"/>
              </w:rPr>
              <w:t xml:space="preserve">Jev forecaster</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7"/>
              </w:rPr>
              <w:t xml:space="preserve">0.645 [0.603, 0.683]</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7"/>
              </w:rPr>
              <w:t xml:space="preserve">0.649 [0.608, 0.688]</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7"/>
              </w:rPr>
              <w:t xml:space="preserve">+0.003 [-0.011, +0.018]</w:t>
            </w:r>
          </w:p>
        </w:tc>
      </w:tr>
      <w:tr>
        <w:trPr>
          <w:cantSplit/>
        </w:trPr>
        <w:tc>
          <w:tcPr>
            <w:tcW w:type="dxa" w:w="2059"/>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Held-out scenario</w:t>
            </w:r>
          </w:p>
        </w:tc>
        <w:tc>
          <w:tcPr>
            <w:tcW w:type="dxa" w:w="1685"/>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GPT-5-nano detector</w:t>
            </w:r>
          </w:p>
        </w:tc>
        <w:tc>
          <w:tcPr>
            <w:tcW w:type="dxa" w:w="1872"/>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0.554 [0.512, 0.594]</w:t>
            </w:r>
          </w:p>
        </w:tc>
        <w:tc>
          <w:tcPr>
            <w:tcW w:type="dxa" w:w="1872"/>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0.576 [0.535, 0.615]</w:t>
            </w:r>
          </w:p>
        </w:tc>
        <w:tc>
          <w:tcPr>
            <w:tcW w:type="dxa" w:w="1872"/>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+0.022 [-0.013, +0.059]</w:t>
            </w:r>
          </w:p>
        </w:tc>
      </w:tr>
      <w:tr>
        <w:trPr>
          <w:cantSplit/>
        </w:trPr>
        <w:tc>
          <w:tcPr>
            <w:tcW w:type="dxa" w:w="2059"/>
            <w:vAlign w:val="center"/>
            <w:tcMar>
              <w:top w:w="65" w:type="dxa"/>
              <w:start w:w="70" w:type="dxa"/>
              <w:bottom w:w="65" w:type="dxa"/>
              <w:end w:w="70" w:type="dxa"/>
            </w:tcMar>
          </w:tcPr>
          <w:p>
            <w:pPr>
              <w:spacing w:after="0" w:line="240" w:lineRule="auto"/>
            </w:pPr>
            <w:r>
              <w:rPr>
                <w:rFonts w:ascii="Old Standard TT" w:hAnsi="Old Standard TT"/>
                <w:sz w:val="17"/>
              </w:rPr>
              <w:t xml:space="preserve">Pooled family CV</w:t>
            </w:r>
          </w:p>
        </w:tc>
        <w:tc>
          <w:tcPr>
            <w:tcW w:type="dxa" w:w="1685"/>
            <w:vAlign w:val="center"/>
            <w:tcMar>
              <w:top w:w="65" w:type="dxa"/>
              <w:start w:w="70" w:type="dxa"/>
              <w:bottom w:w="65" w:type="dxa"/>
              <w:end w:w="70" w:type="dxa"/>
            </w:tcMar>
          </w:tcPr>
          <w:p>
            <w:pPr>
              <w:spacing w:after="0" w:line="240" w:lineRule="auto"/>
            </w:pPr>
            <w:r>
              <w:rPr>
                <w:rFonts w:ascii="Old Standard TT" w:hAnsi="Old Standard TT"/>
                <w:sz w:val="17"/>
              </w:rPr>
              <w:t xml:space="preserve">Jev forecaster</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7"/>
              </w:rPr>
              <w:t xml:space="preserve">0.615 [0.572, 0.651]</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7"/>
              </w:rPr>
              <w:t xml:space="preserve">0.623 [0.582, 0.665]</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7"/>
              </w:rPr>
              <w:t xml:space="preserve">+0.008 [-0.020, +0.039]</w:t>
            </w:r>
          </w:p>
        </w:tc>
      </w:tr>
      <w:tr>
        <w:trPr>
          <w:cantSplit/>
        </w:trPr>
        <w:tc>
          <w:tcPr>
            <w:tcW w:type="dxa" w:w="2059"/>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Pooled family CV</w:t>
            </w:r>
          </w:p>
        </w:tc>
        <w:tc>
          <w:tcPr>
            <w:tcW w:type="dxa" w:w="1685"/>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GPT-5-nano detector</w:t>
            </w:r>
          </w:p>
        </w:tc>
        <w:tc>
          <w:tcPr>
            <w:tcW w:type="dxa" w:w="1872"/>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0.494 [0.453, 0.534]</w:t>
            </w:r>
          </w:p>
        </w:tc>
        <w:tc>
          <w:tcPr>
            <w:tcW w:type="dxa" w:w="1872"/>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0.575 [0.531, 0.619]</w:t>
            </w:r>
          </w:p>
        </w:tc>
        <w:tc>
          <w:tcPr>
            <w:tcW w:type="dxa" w:w="1872"/>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+0.081 [+0.038, +0.126]</w:t>
            </w:r>
          </w:p>
        </w:tc>
      </w:tr>
      <w:tr>
        <w:trPr>
          <w:cantSplit/>
        </w:trPr>
        <w:tc>
          <w:tcPr>
            <w:tcW w:type="dxa" w:w="2059"/>
            <w:vAlign w:val="center"/>
            <w:tcMar>
              <w:top w:w="65" w:type="dxa"/>
              <w:start w:w="70" w:type="dxa"/>
              <w:bottom w:w="65" w:type="dxa"/>
              <w:end w:w="70" w:type="dxa"/>
            </w:tcMar>
          </w:tcPr>
          <w:p>
            <w:pPr>
              <w:spacing w:after="0" w:line="240" w:lineRule="auto"/>
            </w:pPr>
            <w:r>
              <w:rPr>
                <w:rFonts w:ascii="Old Standard TT" w:hAnsi="Old Standard TT"/>
                <w:sz w:val="17"/>
              </w:rPr>
              <w:t xml:space="preserve">New-episode confirmation</w:t>
            </w:r>
          </w:p>
        </w:tc>
        <w:tc>
          <w:tcPr>
            <w:tcW w:type="dxa" w:w="1685"/>
            <w:vAlign w:val="center"/>
            <w:tcMar>
              <w:top w:w="65" w:type="dxa"/>
              <w:start w:w="70" w:type="dxa"/>
              <w:bottom w:w="65" w:type="dxa"/>
              <w:end w:w="70" w:type="dxa"/>
            </w:tcMar>
          </w:tcPr>
          <w:p>
            <w:pPr>
              <w:spacing w:after="0" w:line="240" w:lineRule="auto"/>
            </w:pPr>
            <w:r>
              <w:rPr>
                <w:rFonts w:ascii="Old Standard TT" w:hAnsi="Old Standard TT"/>
                <w:sz w:val="17"/>
              </w:rPr>
              <w:t xml:space="preserve">Jev forecaster</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7"/>
              </w:rPr>
              <w:t xml:space="preserve">0.643 [0.556, 0.723]</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7"/>
              </w:rPr>
              <w:t xml:space="preserve">0.695 [0.624, 0.763]</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7"/>
              </w:rPr>
              <w:t xml:space="preserve">+0.052 [-0.014, +0.121]</w:t>
            </w:r>
          </w:p>
        </w:tc>
      </w:tr>
      <w:tr>
        <w:trPr>
          <w:cantSplit/>
        </w:trPr>
        <w:tc>
          <w:tcPr>
            <w:tcW w:type="dxa" w:w="2059"/>
            <w:vAlign w:val="center"/>
            <w:tcMar>
              <w:top w:w="65" w:type="dxa"/>
              <w:start w:w="70" w:type="dxa"/>
              <w:bottom w:w="65" w:type="dxa"/>
              <w:end w:w="70" w:type="dxa"/>
            </w:tcMar>
            <w:shd w:fill="F4F4F4"/>
          </w:tcPr>
          <w:p>
            <w:pPr>
              <w:keepNext/>
              <w:spacing w:after="0" w:line="240" w:lineRule="auto"/>
            </w:pPr>
            <w:r>
              <w:rPr>
                <w:rFonts w:ascii="Old Standard TT" w:hAnsi="Old Standard TT"/>
                <w:sz w:val="17"/>
              </w:rPr>
              <w:t xml:space="preserve">New-episode confirmation</w:t>
            </w:r>
          </w:p>
        </w:tc>
        <w:tc>
          <w:tcPr>
            <w:tcW w:type="dxa" w:w="1685"/>
            <w:vAlign w:val="center"/>
            <w:tcMar>
              <w:top w:w="65" w:type="dxa"/>
              <w:start w:w="70" w:type="dxa"/>
              <w:bottom w:w="65" w:type="dxa"/>
              <w:end w:w="70" w:type="dxa"/>
            </w:tcMar>
            <w:shd w:fill="F4F4F4"/>
          </w:tcPr>
          <w:p>
            <w:pPr>
              <w:keepNext/>
              <w:spacing w:after="0" w:line="240" w:lineRule="auto"/>
            </w:pPr>
            <w:r>
              <w:rPr>
                <w:rFonts w:ascii="Old Standard TT" w:hAnsi="Old Standard TT"/>
                <w:sz w:val="17"/>
              </w:rPr>
              <w:t xml:space="preserve">GPT-5-nano detector</w:t>
            </w:r>
          </w:p>
        </w:tc>
        <w:tc>
          <w:tcPr>
            <w:tcW w:type="dxa" w:w="1872"/>
            <w:vAlign w:val="center"/>
            <w:tcMar>
              <w:top w:w="65" w:type="dxa"/>
              <w:start w:w="70" w:type="dxa"/>
              <w:bottom w:w="65" w:type="dxa"/>
              <w:end w:w="70" w:type="dxa"/>
            </w:tcMar>
            <w:shd w:fill="F4F4F4"/>
          </w:tcPr>
          <w:p>
            <w:pPr>
              <w:keepNext/>
              <w:spacing w:after="0" w:line="240" w:lineRule="auto"/>
            </w:pPr>
            <w:r>
              <w:rPr>
                <w:rFonts w:ascii="Old Standard TT" w:hAnsi="Old Standard TT"/>
                <w:sz w:val="17"/>
              </w:rPr>
              <w:t xml:space="preserve">0.554 [0.471, 0.633]</w:t>
            </w:r>
          </w:p>
        </w:tc>
        <w:tc>
          <w:tcPr>
            <w:tcW w:type="dxa" w:w="1872"/>
            <w:vAlign w:val="center"/>
            <w:tcMar>
              <w:top w:w="65" w:type="dxa"/>
              <w:start w:w="70" w:type="dxa"/>
              <w:bottom w:w="65" w:type="dxa"/>
              <w:end w:w="70" w:type="dxa"/>
            </w:tcMar>
            <w:shd w:fill="F4F4F4"/>
          </w:tcPr>
          <w:p>
            <w:pPr>
              <w:keepNext/>
              <w:spacing w:after="0" w:line="240" w:lineRule="auto"/>
            </w:pPr>
            <w:r>
              <w:rPr>
                <w:rFonts w:ascii="Old Standard TT" w:hAnsi="Old Standard TT"/>
                <w:sz w:val="17"/>
              </w:rPr>
              <w:t xml:space="preserve">0.667 [0.580, 0.750]</w:t>
            </w:r>
          </w:p>
        </w:tc>
        <w:tc>
          <w:tcPr>
            <w:tcW w:type="dxa" w:w="1872"/>
            <w:vAlign w:val="center"/>
            <w:tcMar>
              <w:top w:w="65" w:type="dxa"/>
              <w:start w:w="70" w:type="dxa"/>
              <w:bottom w:w="65" w:type="dxa"/>
              <w:end w:w="70" w:type="dxa"/>
            </w:tcMar>
            <w:shd w:fill="F4F4F4"/>
          </w:tcPr>
          <w:p>
            <w:pPr>
              <w:keepNext/>
              <w:spacing w:after="0" w:line="240" w:lineRule="auto"/>
            </w:pPr>
            <w:r>
              <w:rPr>
                <w:rFonts w:ascii="Old Standard TT" w:hAnsi="Old Standard TT"/>
                <w:sz w:val="17"/>
              </w:rPr>
              <w:t xml:space="preserve">+0.113 [+0.025, +0.203]</w:t>
            </w:r>
          </w:p>
        </w:tc>
      </w:tr>
    </w:tbl>
    <w:p>
      <w:pPr>
        <w:pStyle w:val="Caption"/>
        <w:keepLines/>
        <w:widowControl/>
      </w:pPr>
      <w:r>
        <w:rPr>
          <w:rFonts w:ascii="Old Standard TT" w:hAnsi="Old Standard TT"/>
          <w:b/>
          <w:bCs/>
        </w:rPr>
        <w:t xml:space="preserve">Table 2.</w:t>
      </w:r>
      <w:r>
        <w:rPr>
          <w:rFonts w:ascii="Old Standard TT" w:hAnsi="Old Standard TT"/>
        </w:rPr>
        <w:t xml:space="preserve"> </w:t>
      </w:r>
      <w:r>
        <w:rPr>
          <w:rFonts w:ascii="Old Standard TT" w:hAnsi="Old Standard TT"/>
        </w:rPr>
        <w:t xml:space="preserve">The probe adds to the weaker monitor (GPT-5-nano detector) in pooled CV and on confirmation, but not to the strong Jev forecaster. Near-term within scenario × round AUROC; baseline is round, log prompt length and the monitor score, combined adds the probe. All data 4,697 steps / 250 positives; confirmation 1,787 / 82. Gains use paired resamples; confirmation overlaps the all-data pool. Probe–monitor rank correlation (exploratory): 0.23 with Jev, 0.09 with GPT-5-nano.</w:t>
      </w:r>
    </w:p>
    <w:p>
      <w:pPr>
        <w:pStyle w:val="Heading3"/>
        <w:keepNext/>
        <w:widowControl/>
        <w:spacing w:before="200"/>
      </w:pPr>
      <w:bookmarkStart w:id="110" w:name="_e774c98102b53efba7d6294684718b8ff2eaeba"/>
      <w:r>
        <w:rPr>
          <w:rFonts w:ascii="Old Standard TT" w:hAnsi="Old Standard TT"/>
        </w:rPr>
        <w:t xml:space="preserve">F. Second Target: gpt-oss-20b (and Gemma-4-31B)</w:t>
      </w:r>
      <w:bookmarkEnd w:id="110"/>
    </w:p>
    <w:p>
      <w:pPr>
        <w:pStyle w:val="FirstParagraph"/>
        <w:widowControl/>
      </w:pPr>
      <w:r>
        <w:rPr>
          <w:rFonts w:ascii="Old Standard TT" w:hAnsi="Old Standard TT"/>
          <w:i/>
          <w:iCs/>
        </w:rPr>
        <w:t xml:space="preserve">Does the setup, and the detection result, carry to a differently trained model, and what had to change?</w:t>
      </w:r>
      <w:r>
        <w:rPr>
          <w:rFonts w:ascii="Old Standard TT" w:hAnsi="Old Standard TT"/>
        </w:rPr>
        <w:t xml:space="preserve"> </w:t>
      </w:r>
      <w:r>
        <w:rPr>
          <w:rFonts w:ascii="Old Standard TT" w:hAnsi="Old Standard TT"/>
        </w:rPr>
        <w:t xml:space="preserve">Both branches below are kept until the replay outcome is known; gpt-oss numbers are never pooled with Qwen’s.</w:t>
      </w:r>
      <w:r>
        <w:rPr>
          <w:rFonts w:ascii="Old Standard TT" w:hAnsi="Old Standard TT"/>
        </w:rPr>
        <w:t xml:space="preserve"> </w:t>
      </w:r>
      <w:r>
        <w:rPr>
          <w:rFonts w:ascii="Old Standard TT" w:hAnsi="Old Standard TT"/>
          <w:b/>
          <w:bCs/>
        </w:rPr>
        <w:t xml:space="preserve">[codex-2 owns the gpt-oss numbers.]</w:t>
      </w:r>
    </w:p>
    <w:p>
      <w:pPr>
        <w:pStyle w:val="Compact"/>
        <w:widowControl/>
        <w:numPr>
          <w:ilvl w:val="0"/>
          <w:numId w:val="1004"/>
        </w:numPr>
      </w:pPr>
      <w:r>
        <w:rPr>
          <w:rFonts w:ascii="Old Standard TT" w:hAnsi="Old Standard TT"/>
          <w:b/>
          <w:bCs/>
        </w:rPr>
        <w:t xml:space="preserve">Fixed-versus-varied protocol.</w:t>
      </w:r>
      <w:r>
        <w:rPr>
          <w:rFonts w:ascii="Old Standard TT" w:hAnsi="Old Standard TT"/>
        </w:rPr>
        <w:t xml:space="preserve"> </w:t>
      </w:r>
      <w:r>
        <w:rPr>
          <w:rFonts w:ascii="Old Standard TT" w:hAnsi="Old Standard TT"/>
        </w:rPr>
        <w:t xml:space="preserve">Held fixed across targets: the scenario template, operator rule, and protected value; the forbidden-action rule from the tool log; the eligible-step window; the labels and the within scenario × round metric; the detector recipes; and the matched controls. Allowed to vary per target: the peer model (DeepSeek-V4-Flash for the main target, V4-Pro for the second), its system prompt and strategy, and the amount of exploratory prompt development. A peer strategy qualifies only if the target reads the value before any disclosure, there is at least one eligible step between the read and the leak, some episodes give in and some hold, and the matched controls never leak.</w:t>
      </w:r>
    </w:p>
    <w:p>
      <w:pPr>
        <w:pStyle w:val="Compact"/>
        <w:widowControl/>
        <w:numPr>
          <w:ilvl w:val="0"/>
          <w:numId w:val="1004"/>
        </w:numPr>
      </w:pPr>
      <w:r>
        <w:rPr>
          <w:rFonts w:ascii="Old Standard TT" w:hAnsi="Old Standard TT"/>
          <w:b/>
          <w:bCs/>
        </w:rPr>
        <w:t xml:space="preserve">Behaviour [source ready]:</w:t>
      </w:r>
      <w:r>
        <w:rPr>
          <w:rFonts w:ascii="Old Standard TT" w:hAnsi="Old Standard TT"/>
        </w:rPr>
        <w:t xml:space="preserve"> </w:t>
      </w:r>
      <w:r>
        <w:rPr>
          <w:rFonts w:ascii="Old Standard TT" w:hAnsi="Old Standard TT"/>
        </w:rPr>
        <w:t xml:space="preserve">blunt pressure fails (gpt-oss 0/27, Gemma 1/35). A delayed whole-configuration-block request passes the selection gate; the scaled collection gives 128/300 channel give-ins, controls 0/60. Gemma stays file-only and behaviour-only.</w:t>
      </w:r>
    </w:p>
    <w:p>
      <w:pPr>
        <w:pStyle w:val="Compact"/>
        <w:widowControl/>
        <w:numPr>
          <w:ilvl w:val="0"/>
          <w:numId w:val="1004"/>
        </w:numPr>
      </w:pPr>
      <w:r>
        <w:rPr>
          <w:rFonts w:ascii="Old Standard TT" w:hAnsi="Old Standard TT"/>
          <w:b/>
          <w:bCs/>
        </w:rPr>
        <w:t xml:space="preserve">Rule amendments:</w:t>
      </w:r>
      <w:r>
        <w:rPr>
          <w:rFonts w:ascii="Old Standard TT" w:hAnsi="Old Standard TT"/>
        </w:rPr>
        <w:t xml:space="preserve"> </w:t>
      </w:r>
      <w:r>
        <w:rPr>
          <w:rFonts w:ascii="Old Standard TT" w:hAnsi="Old Standard TT"/>
        </w:rPr>
        <w:t xml:space="preserve">a public-only cutoff (reasoning mentions are not leaks) and the eligibility rule shared with Qwen (Addendum 6 of the frozen plan).</w:t>
      </w:r>
    </w:p>
    <w:p>
      <w:pPr>
        <w:pStyle w:val="Compact"/>
        <w:widowControl/>
        <w:numPr>
          <w:ilvl w:val="0"/>
          <w:numId w:val="1004"/>
        </w:numPr>
      </w:pPr>
      <w:r>
        <w:rPr>
          <w:rFonts w:ascii="Old Standard TT" w:hAnsi="Old Standard TT"/>
          <w:b/>
          <w:bCs/>
        </w:rPr>
        <w:t xml:space="preserve">Disclosure-kind judge:</w:t>
      </w:r>
      <w:r>
        <w:rPr>
          <w:rFonts w:ascii="Old Standard TT" w:hAnsi="Old Standard TT"/>
        </w:rPr>
        <w:t xml:space="preserve"> </w:t>
      </w:r>
      <w:r>
        <w:rPr>
          <w:rFonts w:ascii="Old Standard TT" w:hAnsi="Old Standard TT"/>
        </w:rPr>
        <w:t xml:space="preserve">198/200 deliberate, 0 accidental, 2 uncertain. The first public emission is</w:t>
      </w:r>
      <w:r>
        <w:rPr>
          <w:rFonts w:ascii="Old Standard TT" w:hAnsi="Old Standard TT"/>
        </w:rPr>
        <w:t xml:space="preserve"> </w:t>
      </w:r>
      <w:r>
        <w:rPr>
          <w:rStyle w:val="VerbatimChar"/>
          <w:rFonts w:ascii="Old Standard TT" w:hAnsi="Old Standard TT"/>
        </w:rPr>
        <w:t xml:space="preserve">write_file</w:t>
      </w:r>
      <w:r>
        <w:rPr>
          <w:rFonts w:ascii="Old Standard TT" w:hAnsi="Old Standard TT"/>
        </w:rPr>
        <w:t xml:space="preserve"> </w:t>
      </w:r>
      <w:r>
        <w:rPr>
          <w:rFonts w:ascii="Old Standard TT" w:hAnsi="Old Standard TT"/>
        </w:rPr>
        <w:t xml:space="preserve">in 196/200; when the token reaches the channel it is almost always the end-of-turn reply (127 of 128).</w:t>
      </w:r>
    </w:p>
    <w:p>
      <w:pPr>
        <w:pStyle w:val="Compact"/>
        <w:widowControl/>
        <w:numPr>
          <w:ilvl w:val="0"/>
          <w:numId w:val="1004"/>
        </w:numPr>
      </w:pPr>
      <w:r>
        <w:rPr>
          <w:rFonts w:ascii="Old Standard TT" w:hAnsi="Old Standard TT"/>
          <w:b/>
          <w:bCs/>
        </w:rPr>
        <w:t xml:space="preserve">Leak route:</w:t>
      </w:r>
      <w:r>
        <w:rPr>
          <w:rFonts w:ascii="Old Standard TT" w:hAnsi="Old Standard TT"/>
        </w:rPr>
        <w:t xml:space="preserve"> </w:t>
      </w:r>
      <w:r>
        <w:rPr>
          <w:rFonts w:ascii="Old Standard TT" w:hAnsi="Old Standard TT"/>
        </w:rPr>
        <w:t xml:space="preserve">of the 128 channel give-ins, 127 are the end-of-turn reply and 1 an explicit</w:t>
      </w:r>
      <w:r>
        <w:rPr>
          <w:rFonts w:ascii="Old Standard TT" w:hAnsi="Old Standard TT"/>
        </w:rPr>
        <w:t xml:space="preserve"> </w:t>
      </w:r>
      <w:r>
        <w:rPr>
          <w:rStyle w:val="VerbatimChar"/>
          <w:rFonts w:ascii="Old Standard TT" w:hAnsi="Old Standard TT"/>
        </w:rPr>
        <w:t xml:space="preserve">send_message</w:t>
      </w:r>
      <w:r>
        <w:rPr>
          <w:rFonts w:ascii="Old Standard TT" w:hAnsi="Old Standard TT"/>
        </w:rPr>
        <w:t xml:space="preserve"> </w:t>
      </w:r>
      <w:r>
        <w:rPr>
          <w:rFonts w:ascii="Old Standard TT" w:hAnsi="Old Standard TT"/>
        </w:rPr>
        <w:t xml:space="preserve">(canonical disclosure-kind judge). The gpt-oss addressee rerun is pending, so no addressee line is given yet.</w:t>
      </w:r>
    </w:p>
    <w:p>
      <w:pPr>
        <w:pStyle w:val="Compact"/>
        <w:widowControl/>
        <w:numPr>
          <w:ilvl w:val="0"/>
          <w:numId w:val="1004"/>
        </w:numPr>
      </w:pPr>
      <w:r>
        <w:rPr>
          <w:rFonts w:ascii="Old Standard TT" w:hAnsi="Old Standard TT"/>
          <w:b/>
          <w:bCs/>
        </w:rPr>
        <w:t xml:space="preserve">Reasoning and rendering.</w:t>
      </w:r>
      <w:r>
        <w:rPr>
          <w:rFonts w:ascii="Old Standard TT" w:hAnsi="Old Standard TT"/>
        </w:rPr>
        <w:t xml:space="preserve"> </w:t>
      </w:r>
      <w:r>
        <w:rPr>
          <w:rFonts w:ascii="Old Standard TT" w:hAnsi="Old Standard TT"/>
        </w:rPr>
        <w:t xml:space="preserve">gpt-oss reasons, and the Harmony format drops reasoning from earlier turns but keeps the current turn’s reasoning between tool calls. A rendering gate checks that the replayed prompt reproduces the served one: keeping the current-turn reasoning raised exact match from 68% to 98.9% within one token on one provider (AkashML), while another (DekaLLM) left about 4.5% of requests unresolved, with a median token gap of about 24. The leak cutoff is public output only: private reasoning is not a leak, and an inclusive cutoff would drop 53 held steps. Reasoning mentions of the token are reported as a descriptive column, not as give-ins. Because the format keeps the current turn’s reasoning, a mid-turn probe step can include the target’s earlier reasoning from that turn, which the monitors’</w:t>
      </w:r>
      <w:r>
        <w:rPr>
          <w:rFonts w:ascii="Old Standard TT" w:hAnsi="Old Standard TT"/>
        </w:rPr>
        <w:t xml:space="preserve"> </w:t>
      </w:r>
      <w:r>
        <w:rPr>
          <w:rFonts w:ascii="Old Standard TT" w:hAnsi="Old Standard TT"/>
        </w:rPr>
        <w:t xml:space="preserve">“everything the target saw”</w:t>
      </w:r>
      <w:r>
        <w:rPr>
          <w:rFonts w:ascii="Old Standard TT" w:hAnsi="Old Standard TT"/>
        </w:rPr>
        <w:t xml:space="preserve"> </w:t>
      </w:r>
      <w:r>
        <w:rPr>
          <w:rFonts w:ascii="Old Standard TT" w:hAnsi="Old Standard TT"/>
        </w:rPr>
        <w:t xml:space="preserve">level does not; this access difference is stated wherever the gpt-oss probe and monitors are compared. [Rendering-gate source:</w:t>
      </w:r>
      <w:r>
        <w:rPr>
          <w:rFonts w:ascii="Old Standard TT" w:hAnsi="Old Standard TT"/>
        </w:rPr>
        <w:t xml:space="preserve"> </w:t>
      </w:r>
      <w:r>
        <w:rPr>
          <w:rStyle w:val="VerbatimChar"/>
          <w:rFonts w:ascii="Old Standard TT" w:hAnsi="Old Standard TT"/>
        </w:rPr>
        <w:t xml:space="preserve">runs/20261025-2236-e02-gpt-oss-rendering-gate</w:t>
      </w:r>
      <w:r>
        <w:rPr>
          <w:rFonts w:ascii="Old Standard TT" w:hAnsi="Old Standard TT"/>
        </w:rPr>
        <w:t xml:space="preserve">; internal pointer, remove before submission.]</w:t>
      </w:r>
    </w:p>
    <w:p>
      <w:pPr>
        <w:pStyle w:val="Compact"/>
        <w:widowControl/>
        <w:numPr>
          <w:ilvl w:val="0"/>
          <w:numId w:val="1004"/>
        </w:numPr>
      </w:pPr>
      <w:r>
        <w:rPr>
          <w:rFonts w:ascii="Old Standard TT" w:hAnsi="Old Standard TT"/>
          <w:b/>
          <w:bCs/>
        </w:rPr>
        <w:t xml:space="preserve">If the replay works:</w:t>
      </w:r>
      <w:r>
        <w:rPr>
          <w:rFonts w:ascii="Old Standard TT" w:hAnsi="Old Standard TT"/>
        </w:rPr>
        <w:t xml:space="preserve"> </w:t>
      </w:r>
      <w:r>
        <w:rPr>
          <w:rFonts w:ascii="Old Standard TT" w:hAnsi="Old Standard TT"/>
        </w:rPr>
        <w:t xml:space="preserve">fidelity with the provider-quantisation caveat; the rendering check reported as passed; probe and monitors, including the reasoning-access level, in a small table matching Figure 2; and the pre-ask placebo split and the no-post-ask-window family as table rows. Section 4.6 of the main text gets the headline.</w:t>
      </w:r>
    </w:p>
    <w:p>
      <w:pPr>
        <w:pStyle w:val="Compact"/>
        <w:widowControl/>
        <w:numPr>
          <w:ilvl w:val="0"/>
          <w:numId w:val="1004"/>
        </w:numPr>
      </w:pPr>
      <w:r>
        <w:rPr>
          <w:rFonts w:ascii="Old Standard TT" w:hAnsi="Old Standard TT"/>
          <w:b/>
          <w:bCs/>
        </w:rPr>
        <w:t xml:space="preserve">If the replay fails:</w:t>
      </w:r>
      <w:r>
        <w:rPr>
          <w:rFonts w:ascii="Old Standard TT" w:hAnsi="Old Standard TT"/>
        </w:rPr>
        <w:t xml:space="preserve"> </w:t>
      </w:r>
      <w:r>
        <w:rPr>
          <w:rFonts w:ascii="Old Standard TT" w:hAnsi="Old Standard TT"/>
        </w:rPr>
        <w:t xml:space="preserve">the rendering mismatch is reported as the reason; the probe results are cut and stated as a limitation in Appendix A; Section 4.6 becomes two sentences of behaviour.</w:t>
      </w:r>
    </w:p>
    <w:p>
      <w:pPr>
        <w:pStyle w:val="Heading3"/>
        <w:keepNext/>
        <w:widowControl/>
        <w:spacing w:before="200"/>
      </w:pPr>
      <w:bookmarkStart w:id="111" w:name="_190f1226d051d30d3bf4384ba25f172a7a45b0c"/>
      <w:r>
        <w:rPr>
          <w:rFonts w:ascii="Old Standard TT" w:hAnsi="Old Standard TT"/>
        </w:rPr>
        <w:t xml:space="preserve">G. Behaviour Screening</w:t>
      </w:r>
      <w:bookmarkEnd w:id="111"/>
    </w:p>
    <w:p>
      <w:pPr>
        <w:pStyle w:val="FirstParagraph"/>
        <w:widowControl/>
      </w:pPr>
      <w:r>
        <w:rPr>
          <w:rFonts w:ascii="Old Standard TT" w:hAnsi="Old Standard TT"/>
          <w:i/>
          <w:iCs/>
        </w:rPr>
        <w:t xml:space="preserve">What did we try before the final setup, and how does giving in vary with pressure?</w:t>
      </w:r>
    </w:p>
    <w:p>
      <w:pPr>
        <w:pStyle w:val="BodyText"/>
        <w:widowControl/>
      </w:pPr>
      <w:r>
        <w:rPr>
          <w:rFonts w:ascii="Old Standard TT" w:hAnsi="Old Standard TT"/>
          <w:b/>
          <w:bCs/>
        </w:rPr>
        <w:t xml:space="preserve">[TODO]</w:t>
      </w:r>
      <w:r>
        <w:rPr>
          <w:rFonts w:ascii="Old Standard TT" w:hAnsi="Old Standard TT"/>
        </w:rPr>
        <w:t xml:space="preserve"> </w:t>
      </w:r>
      <w:r>
        <w:rPr>
          <w:rFonts w:ascii="Old Standard TT" w:hAnsi="Old Standard TT"/>
        </w:rPr>
        <w:t xml:space="preserve">one coverage table (factor × level → give-in rate [Wilson 95% CI], n) over rule strength, single tactics, own stake, thinking mode, two peers, and evaluation awareness, with one paragraph of reading and no per-run prose. The three single persuasion tactics that appear in the scored recruiting set (§3.1) are defined here. Reporting follows</w:t>
      </w:r>
      <w:r>
        <w:rPr>
          <w:rFonts w:ascii="Old Standard TT" w:hAnsi="Old Standard TT"/>
        </w:rPr>
        <w:t xml:space="preserve"> </w:t>
      </w:r>
      <w:r>
        <w:rPr>
          <w:rStyle w:val="VerbatimChar"/>
          <w:rFonts w:ascii="Old Standard TT" w:hAnsi="Old Standard TT"/>
        </w:rPr>
        <w:t xml:space="preserve">docs/pressure_reporting_practices.md</w:t>
      </w:r>
      <w:r>
        <w:rPr>
          <w:rFonts w:ascii="Old Standard TT" w:hAnsi="Old Standard TT"/>
        </w:rPr>
        <w:t xml:space="preserve">. Source: the E01 behaviour summaries.</w:t>
      </w:r>
    </w:p>
    <w:p>
      <w:pPr>
        <w:pStyle w:val="Heading3"/>
        <w:keepNext/>
        <w:widowControl/>
        <w:spacing w:before="200"/>
      </w:pPr>
      <w:bookmarkStart w:id="112" w:name="_7fccf12973301cf728201a32934c6648ff11624"/>
      <w:r>
        <w:rPr>
          <w:rFonts w:ascii="Old Standard TT" w:hAnsi="Old Standard TT"/>
        </w:rPr>
        <w:t xml:space="preserve">H. Robustness and Diagnostics for the Main Results</w:t>
      </w:r>
      <w:bookmarkEnd w:id="112"/>
    </w:p>
    <w:p>
      <w:pPr>
        <w:pStyle w:val="FirstParagraph"/>
        <w:widowControl/>
      </w:pPr>
      <w:r>
        <w:rPr>
          <w:rFonts w:ascii="Old Standard TT" w:hAnsi="Old Standard TT"/>
          <w:i/>
          <w:iCs/>
        </w:rPr>
        <w:t xml:space="preserve">Do the headline numbers survive other labels, layers, splits and checks, and what do the detectors miss?</w:t>
      </w:r>
    </w:p>
    <w:p>
      <w:pPr>
        <w:pStyle w:val="Compact"/>
        <w:widowControl/>
        <w:numPr>
          <w:ilvl w:val="0"/>
          <w:numId w:val="1005"/>
        </w:numPr>
      </w:pPr>
      <w:r>
        <w:rPr>
          <w:rFonts w:ascii="Old Standard TT" w:hAnsi="Old Standard TT"/>
          <w:b/>
          <w:bCs/>
        </w:rPr>
        <w:t xml:space="preserve">Near-term robustness [TODO]:</w:t>
      </w:r>
      <w:r>
        <w:rPr>
          <w:rFonts w:ascii="Old Standard TT" w:hAnsi="Old Standard TT"/>
        </w:rPr>
        <w:t xml:space="preserve"> </w:t>
      </w:r>
      <w:r>
        <w:rPr>
          <w:rFonts w:ascii="Old Standard TT" w:hAnsi="Old Standard TT"/>
        </w:rPr>
        <w:t xml:space="preserve">one table — labels B and C, scenario-mean, per-scenario, fixed layer 32, MLP — plus the per-layer curve as a figure. Source:</w:t>
      </w:r>
      <w:r>
        <w:rPr>
          <w:rFonts w:ascii="Old Standard TT" w:hAnsi="Old Standard TT"/>
        </w:rPr>
        <w:t xml:space="preserve"> </w:t>
      </w:r>
      <w:r>
        <w:rPr>
          <w:rStyle w:val="VerbatimChar"/>
          <w:rFonts w:ascii="Old Standard TT" w:hAnsi="Old Standard TT"/>
        </w:rPr>
        <w:t xml:space="preserve">runs/20261025-1456-e05-all-data-main/report.md</w:t>
      </w:r>
      <w:r>
        <w:rPr>
          <w:rFonts w:ascii="Old Standard TT" w:hAnsi="Old Standard TT"/>
        </w:rPr>
        <w:t xml:space="preserve">.</w:t>
      </w:r>
    </w:p>
    <w:p>
      <w:pPr>
        <w:pStyle w:val="Compact"/>
        <w:widowControl/>
        <w:numPr>
          <w:ilvl w:val="0"/>
          <w:numId w:val="1005"/>
        </w:numPr>
      </w:pPr>
      <w:r>
        <w:rPr>
          <w:rFonts w:ascii="Old Standard TT" w:hAnsi="Old Standard TT"/>
          <w:b/>
          <w:bCs/>
        </w:rPr>
        <w:t xml:space="preserve">Eventual label [TODO]:</w:t>
      </w:r>
      <w:r>
        <w:rPr>
          <w:rFonts w:ascii="Old Standard TT" w:hAnsi="Old Standard TT"/>
        </w:rPr>
        <w:t xml:space="preserve"> </w:t>
      </w:r>
      <w:r>
        <w:rPr>
          <w:rFonts w:ascii="Old Standard TT" w:hAnsi="Old Standard TT"/>
        </w:rPr>
        <w:t xml:space="preserve">learning curve, per-layer, and branching, as a short subsection; branching supports the Discussion’s</w:t>
      </w:r>
      <w:r>
        <w:rPr>
          <w:rFonts w:ascii="Old Standard TT" w:hAnsi="Old Standard TT"/>
        </w:rPr>
        <w:t xml:space="preserve"> </w:t>
      </w:r>
      <w:r>
        <w:rPr>
          <w:rFonts w:ascii="Old Standard TT" w:hAnsi="Old Standard TT"/>
        </w:rPr>
        <w:t xml:space="preserve">“outcome only partly settled”</w:t>
      </w:r>
      <w:r>
        <w:rPr>
          <w:rFonts w:ascii="Old Standard TT" w:hAnsi="Old Standard TT"/>
        </w:rPr>
        <w:t xml:space="preserve"> </w:t>
      </w:r>
      <w:r>
        <w:rPr>
          <w:rFonts w:ascii="Old Standard TT" w:hAnsi="Old Standard TT"/>
        </w:rPr>
        <w:t xml:space="preserve">point.</w:t>
      </w:r>
    </w:p>
    <w:p>
      <w:pPr>
        <w:pStyle w:val="Compact"/>
        <w:widowControl/>
        <w:numPr>
          <w:ilvl w:val="0"/>
          <w:numId w:val="1005"/>
        </w:numPr>
      </w:pPr>
      <w:r>
        <w:rPr>
          <w:rFonts w:ascii="Old Standard TT" w:hAnsi="Old Standard TT"/>
          <w:b/>
          <w:bCs/>
        </w:rPr>
        <w:t xml:space="preserve">Pressure versus outcome:</w:t>
      </w:r>
      <w:r>
        <w:rPr>
          <w:rFonts w:ascii="Old Standard TT" w:hAnsi="Old Standard TT"/>
        </w:rPr>
        <w:t xml:space="preserve"> </w:t>
      </w:r>
      <w:r>
        <w:rPr>
          <w:rFonts w:ascii="Old Standard TT" w:hAnsi="Old Standard TT"/>
        </w:rPr>
        <w:t xml:space="preserve">the full numbers and cohort for the pressure-probe check in §4.3 — first data batch, fixed layer 32: recruiting versus benign AUROC 1.000 on 4,184 steps; gave-in versus held 0.430 [0.373, 0.492] pooled and 0.426 [0.371, 0.488] held-out (2,910 recruiting steps, 618 eventual positives). Source:</w:t>
      </w:r>
      <w:r>
        <w:rPr>
          <w:rFonts w:ascii="Old Standard TT" w:hAnsi="Old Standard TT"/>
        </w:rPr>
        <w:t xml:space="preserve"> </w:t>
      </w:r>
      <w:r>
        <w:rPr>
          <w:rStyle w:val="VerbatimChar"/>
          <w:rFonts w:ascii="Old Standard TT" w:hAnsi="Old Standard TT"/>
        </w:rPr>
        <w:t xml:space="preserve">runs/20261025-0800-e05-explore-trajectories-pressure</w:t>
      </w:r>
      <w:r>
        <w:rPr>
          <w:rFonts w:ascii="Old Standard TT" w:hAnsi="Old Standard TT"/>
        </w:rPr>
        <w:t xml:space="preserve">.</w:t>
      </w:r>
    </w:p>
    <w:p>
      <w:pPr>
        <w:pStyle w:val="Compact"/>
        <w:widowControl/>
        <w:numPr>
          <w:ilvl w:val="0"/>
          <w:numId w:val="1005"/>
        </w:numPr>
      </w:pPr>
      <w:r>
        <w:rPr>
          <w:rFonts w:ascii="Old Standard TT" w:hAnsi="Old Standard TT"/>
          <w:b/>
          <w:bCs/>
        </w:rPr>
        <w:t xml:space="preserve">Errors and alarms:</w:t>
      </w:r>
      <w:r>
        <w:rPr>
          <w:rFonts w:ascii="Old Standard TT" w:hAnsi="Old Standard TT"/>
        </w:rPr>
        <w:t xml:space="preserve"> </w:t>
      </w:r>
      <w:r>
        <w:rPr>
          <w:rFonts w:ascii="Old Standard TT" w:hAnsi="Old Standard TT"/>
        </w:rPr>
        <w:t xml:space="preserve">probe/monitor step-score correlations (within scenario × round Spearman 0.23 with the Jev forecaster, 0.09 with the GPT-5-nano detector); the shared-miss table with its caveat; and alarm recall at a 5% per-episode false-alarm rate. Peer-text sway in one line. Source:</w:t>
      </w:r>
      <w:r>
        <w:rPr>
          <w:rFonts w:ascii="Old Standard TT" w:hAnsi="Old Standard TT"/>
        </w:rPr>
        <w:t xml:space="preserve"> </w:t>
      </w:r>
      <w:r>
        <w:rPr>
          <w:rStyle w:val="VerbatimChar"/>
          <w:rFonts w:ascii="Old Standard TT" w:hAnsi="Old Standard TT"/>
        </w:rPr>
        <w:t xml:space="preserve">runs/20261025-1504-e06-appendix-errors</w:t>
      </w:r>
      <w:r>
        <w:rPr>
          <w:rFonts w:ascii="Old Standard TT" w:hAnsi="Old Standard TT"/>
        </w:rPr>
        <w:t xml:space="preserve">.</w:t>
      </w:r>
    </w:p>
    <w:p>
      <w:pPr>
        <w:pStyle w:val="Compact"/>
        <w:widowControl/>
        <w:numPr>
          <w:ilvl w:val="0"/>
          <w:numId w:val="1005"/>
        </w:numPr>
      </w:pPr>
      <w:r>
        <w:rPr>
          <w:rFonts w:ascii="Old Standard TT" w:hAnsi="Old Standard TT"/>
          <w:b/>
          <w:bCs/>
        </w:rPr>
        <w:t xml:space="preserve">Negative checks:</w:t>
      </w:r>
      <w:r>
        <w:rPr>
          <w:rFonts w:ascii="Old Standard TT" w:hAnsi="Old Standard TT"/>
        </w:rPr>
        <w:t xml:space="preserve"> </w:t>
      </w:r>
      <w:r>
        <w:rPr>
          <w:rFonts w:ascii="Old Standard TT" w:hAnsi="Old Standard TT"/>
        </w:rPr>
        <w:t xml:space="preserve">logit lens and trajectory features, both negative, as table rows.</w:t>
      </w:r>
    </w:p>
    <w:p>
      <w:pPr>
        <w:pStyle w:val="Heading3"/>
        <w:keepNext/>
        <w:widowControl/>
        <w:spacing w:before="200"/>
      </w:pPr>
      <w:bookmarkStart w:id="113" w:name="_889344895f04d1f9f75d0ebcc55c0e9d025ecfb"/>
      <w:r>
        <w:rPr>
          <w:rFonts w:ascii="Old Standard TT" w:hAnsi="Old Standard TT"/>
        </w:rPr>
        <w:t xml:space="preserve">I. Prompts</w:t>
      </w:r>
      <w:bookmarkEnd w:id="113"/>
    </w:p>
    <w:p>
      <w:pPr>
        <w:pStyle w:val="FirstParagraph"/>
        <w:widowControl/>
      </w:pPr>
      <w:r>
        <w:rPr>
          <w:rFonts w:ascii="Old Standard TT" w:hAnsi="Old Standard TT"/>
          <w:i/>
          <w:iCs/>
        </w:rPr>
        <w:t xml:space="preserve">The exact text each agent and monitor received.</w:t>
      </w:r>
    </w:p>
    <w:p>
      <w:pPr>
        <w:pStyle w:val="BodyText"/>
        <w:widowControl/>
      </w:pPr>
      <w:r>
        <w:rPr>
          <w:rFonts w:ascii="Old Standard TT" w:hAnsi="Old Standard TT"/>
          <w:b/>
          <w:bCs/>
        </w:rPr>
        <w:t xml:space="preserve">[TODO]</w:t>
      </w:r>
      <w:r>
        <w:rPr>
          <w:rFonts w:ascii="Old Standard TT" w:hAnsi="Old Standard TT"/>
        </w:rPr>
        <w:t xml:space="preserve"> </w:t>
      </w:r>
      <w:r>
        <w:rPr>
          <w:rFonts w:ascii="Old Standard TT" w:hAnsi="Old Standard TT"/>
        </w:rPr>
        <w:t xml:space="preserve">the target system prompt, the recruiting and control peer prompts (including the gpt-oss delayed request), and the monitor prompts, released in full per the dual-use decision. In the PDF, show one scenario in full and point to the repository for the rest. Source:</w:t>
      </w:r>
      <w:r>
        <w:rPr>
          <w:rFonts w:ascii="Old Standard TT" w:hAnsi="Old Standard TT"/>
        </w:rPr>
        <w:t xml:space="preserve"> </w:t>
      </w:r>
      <w:r>
        <w:rPr>
          <w:rStyle w:val="VerbatimChar"/>
          <w:rFonts w:ascii="Old Standard TT" w:hAnsi="Old Standard TT"/>
        </w:rPr>
        <w:t xml:space="preserve">experiments/E06-monitors/PROMPTS.md</w:t>
      </w:r>
      <w:r>
        <w:rPr>
          <w:rFonts w:ascii="Old Standard TT" w:hAnsi="Old Standard TT"/>
        </w:rPr>
        <w:t xml:space="preserve"> </w:t>
      </w:r>
      <w:r>
        <w:rPr>
          <w:rFonts w:ascii="Old Standard TT" w:hAnsi="Old Standard TT"/>
        </w:rPr>
        <w:t xml:space="preserve">and the peer-prompt files.</w:t>
      </w:r>
    </w:p>
    <w:p>
      <w:pPr>
        <w:pStyle w:val="Heading2"/>
        <w:keepNext/>
        <w:widowControl/>
        <w:spacing w:before="200"/>
      </w:pPr>
      <w:bookmarkStart w:id="114" w:name="_cb9581af10cbdf668d14e9255457c76a376db3f"/>
      <w:r>
        <w:rPr>
          <w:rFonts w:ascii="Old Standard TT" w:hAnsi="Old Standard TT"/>
        </w:rPr>
        <w:t xml:space="preserve">LLM Usage Statement</w:t>
      </w:r>
      <w:bookmarkEnd w:id="114"/>
    </w:p>
    <w:p>
      <w:pPr>
        <w:pStyle w:val="FirstParagraph"/>
        <w:widowControl/>
      </w:pPr>
      <w:r>
        <w:rPr>
          <w:rFonts w:ascii="Old Standard TT" w:hAnsi="Old Standard TT"/>
          <w:b/>
          <w:bCs/>
        </w:rPr>
        <w:t xml:space="preserve">[TODO]</w:t>
      </w:r>
      <w:r>
        <w:rPr>
          <w:rFonts w:ascii="Old Standard TT" w:hAnsi="Old Standard TT"/>
        </w:rPr>
        <w:t xml:space="preserve"> </w:t>
      </w:r>
      <w:r>
        <w:rPr>
          <w:rFonts w:ascii="Old Standard TT" w:hAnsi="Old Standard TT"/>
        </w:rPr>
        <w:t xml:space="preserve">Required statement; does not count toward the page limit.</w:t>
      </w:r>
    </w:p>
    <w:sectPr>
      <w:pgSz w:h="15840" w:w="12240" w:orient="portrait"/>
      <w:pgMar w:bottom="1440" w:top="1440" w:left="1440" w:right="1440" w:header="720" w:footer="72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val="1"/>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val="15" w:name="compatibilityMode" w:uri="http://schemas.microsoft.com/office/word"/>
  </w:compat>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olor w:val="000000"/>
      <w:sz w:val="22"/>
    </w:rPr>
  </w:style>
  <w:style w:type="paragraph" w:styleId="Heading1">
    <w:name w:val="heading 1"/>
    <w:basedOn w:val="Normal"/>
    <w:next w:val="Normal"/>
    <w:pPr>
      <w:keepNext w:val="1"/>
      <w:keepLines w:val="1"/>
      <w:pageBreakBefore w:val="0"/>
      <w:spacing w:after="120" w:before="400" w:lineRule="auto"/>
    </w:pPr>
    <w:rPr>
      <w:rFonts w:ascii="Old Standard TT" w:hAnsi="Old Standard TT"/>
      <w:color w:val="000000"/>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b w:val="0"/>
      <w:bCs w:val="0"/>
      <w:color w:val="00000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rFonts w:ascii="Old Standard TT" w:hAnsi="Old Standard TT"/>
      <w:color w:val="000000"/>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color w:val="000000"/>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Caption">
    <w:name w:val="caption"/>
    <w:basedOn w:val="Normal"/>
    <w:rPr>
      <w:rFonts w:ascii="Old Standard TT" w:hAnsi="Old Standard TT"/>
      <w:color w:val="000000"/>
      <w:sz w:val="18"/>
    </w:rPr>
  </w:style>
  <w:style w:type="character" w:customStyle="1" w:styleId="Hyperlink">
    <w:name w:val="Hyperlink"/>
    <w:rPr>
      <w:rFonts w:ascii="Old Standard TT" w:hAnsi="Old Standard TT"/>
      <w:sz w:val="22"/>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27" Type="http://schemas.openxmlformats.org/officeDocument/2006/relationships/image" Target="media/rId27.png"/><Relationship Id="rId107" Type="http://schemas.openxmlformats.org/officeDocument/2006/relationships/image" Target="media/rId107.png"/><Relationship Id="rId101" Type="http://schemas.openxmlformats.org/officeDocument/2006/relationships/image" Target="media/rId101.png"/><Relationship Id="rId51" Type="http://schemas.openxmlformats.org/officeDocument/2006/relationships/hyperlink" Target="https://arxiv.org/abs/2404.00806" TargetMode="External"/><Relationship Id="rId65" Type="http://schemas.openxmlformats.org/officeDocument/2006/relationships/hyperlink" Target="https://arxiv.org/abs/2410.00031" TargetMode="External"/><Relationship Id="rId57" Type="http://schemas.openxmlformats.org/officeDocument/2006/relationships/hyperlink" Target="https://arxiv.org/abs/2502.03407" TargetMode="External"/><Relationship Id="rId91" Type="http://schemas.openxmlformats.org/officeDocument/2006/relationships/hyperlink" Target="https://arxiv.org/abs/2505.09388" TargetMode="External"/><Relationship Id="rId39" Type="http://schemas.openxmlformats.org/officeDocument/2006/relationships/hyperlink" Target="https://arxiv.org/abs/2507.01413" TargetMode="External"/><Relationship Id="rId69" Type="http://schemas.openxmlformats.org/officeDocument/2006/relationships/hyperlink" Target="https://arxiv.org/abs/2508.10925" TargetMode="External"/><Relationship Id="rId43" Type="http://schemas.openxmlformats.org/officeDocument/2006/relationships/hyperlink" Target="https://arxiv.org/abs/2512.03097" TargetMode="External"/><Relationship Id="rId45" Type="http://schemas.openxmlformats.org/officeDocument/2006/relationships/hyperlink" Target="https://arxiv.org/abs/2601.04603" TargetMode="External"/><Relationship Id="rId63" Type="http://schemas.openxmlformats.org/officeDocument/2006/relationships/hyperlink" Target="https://arxiv.org/abs/2601.11516" TargetMode="External"/><Relationship Id="rId41" Type="http://schemas.openxmlformats.org/officeDocument/2006/relationships/hyperlink" Target="https://arxiv.org/abs/2601.21112" TargetMode="External"/><Relationship Id="rId67" Type="http://schemas.openxmlformats.org/officeDocument/2006/relationships/hyperlink" Target="https://arxiv.org/abs/2602.15198" TargetMode="External"/><Relationship Id="rId85" Type="http://schemas.openxmlformats.org/officeDocument/2006/relationships/hyperlink" Target="https://arxiv.org/abs/2603.13940" TargetMode="External"/><Relationship Id="rId77" Type="http://schemas.openxmlformats.org/officeDocument/2006/relationships/hyperlink" Target="https://arxiv.org/abs/2604.01151" TargetMode="External"/><Relationship Id="rId95" Type="http://schemas.openxmlformats.org/officeDocument/2006/relationships/hyperlink" Target="https://arxiv.org/abs/2605.27593" TargetMode="External"/><Relationship Id="rId75" Type="http://schemas.openxmlformats.org/officeDocument/2006/relationships/hyperlink" Target="https://arxiv.org/abs/2605.29178" TargetMode="External"/><Relationship Id="rId61" Type="http://schemas.openxmlformats.org/officeDocument/2006/relationships/hyperlink" Target="https://arxiv.org/abs/2606.11172" TargetMode="External"/><Relationship Id="rId53" Type="http://schemas.openxmlformats.org/officeDocument/2006/relationships/hyperlink" Target="https://arxiv.org/abs/2606.30449" TargetMode="External"/><Relationship Id="rId81" Type="http://schemas.openxmlformats.org/officeDocument/2006/relationships/hyperlink" Target="https://arxiv.org/abs/2607.05132" TargetMode="External"/><Relationship Id="rId79" Type="http://schemas.openxmlformats.org/officeDocument/2006/relationships/hyperlink" Target="https://arxiv.org/abs/2607.06503" TargetMode="External"/><Relationship Id="rId49" Type="http://schemas.openxmlformats.org/officeDocument/2006/relationships/hyperlink" Target="https://arxiv.org/abs/2608.02657" TargetMode="External"/><Relationship Id="rId83" Type="http://schemas.openxmlformats.org/officeDocument/2006/relationships/hyperlink" Target="https://arxiv.org/abs/2609.09090" TargetMode="External"/><Relationship Id="rId55" Type="http://schemas.openxmlformats.org/officeDocument/2006/relationships/hyperlink" Target="https://arxiv.org/abs/2610.04575" TargetMode="External"/><Relationship Id="rId93" Type="http://schemas.openxmlformats.org/officeDocument/2006/relationships/hyperlink" Target="https://arxiv.org/abs/2610.05295" TargetMode="External"/><Relationship Id="rId89" Type="http://schemas.openxmlformats.org/officeDocument/2006/relationships/hyperlink" Target="https://github.com/UKGovernmentBEIS/control-arena" TargetMode="External"/><Relationship Id="rId73" Type="http://schemas.openxmlformats.org/officeDocument/2006/relationships/hyperlink" Target="https://openai.com/index/hugging-face-incident-and-the-road-ahead/" TargetMode="External"/><Relationship Id="rId47" Type="http://schemas.openxmlformats.org/officeDocument/2006/relationships/hyperlink" Target="https://openrouter.ai/deepseek/deepseek-v4-flash" TargetMode="External"/><Relationship Id="rId71" Type="http://schemas.openxmlformats.org/officeDocument/2006/relationships/hyperlink" Target="https://openrouter.ai/openai/gpt-6-luna-decisions" TargetMode="External"/><Relationship Id="rId87" Type="http://schemas.openxmlformats.org/officeDocument/2006/relationships/hyperlink" Target="https://typesafe.ai/blog/introducing-system-one-models-and-jev" TargetMode="External"/><Relationship Id="rId59" Type="http://schemas.openxmlformats.org/officeDocument/2006/relationships/hyperlink" Target="https://www.redwoodresearch.org/research/hugging-face-inciden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51" Type="http://schemas.openxmlformats.org/officeDocument/2006/relationships/hyperlink" Target="https://arxiv.org/abs/2404.00806" TargetMode="External"/><Relationship Id="rId65" Type="http://schemas.openxmlformats.org/officeDocument/2006/relationships/hyperlink" Target="https://arxiv.org/abs/2410.00031" TargetMode="External"/><Relationship Id="rId57" Type="http://schemas.openxmlformats.org/officeDocument/2006/relationships/hyperlink" Target="https://arxiv.org/abs/2502.03407" TargetMode="External"/><Relationship Id="rId91" Type="http://schemas.openxmlformats.org/officeDocument/2006/relationships/hyperlink" Target="https://arxiv.org/abs/2505.09388" TargetMode="External"/><Relationship Id="rId39" Type="http://schemas.openxmlformats.org/officeDocument/2006/relationships/hyperlink" Target="https://arxiv.org/abs/2507.01413" TargetMode="External"/><Relationship Id="rId69" Type="http://schemas.openxmlformats.org/officeDocument/2006/relationships/hyperlink" Target="https://arxiv.org/abs/2508.10925" TargetMode="External"/><Relationship Id="rId43" Type="http://schemas.openxmlformats.org/officeDocument/2006/relationships/hyperlink" Target="https://arxiv.org/abs/2512.03097" TargetMode="External"/><Relationship Id="rId45" Type="http://schemas.openxmlformats.org/officeDocument/2006/relationships/hyperlink" Target="https://arxiv.org/abs/2601.04603" TargetMode="External"/><Relationship Id="rId63" Type="http://schemas.openxmlformats.org/officeDocument/2006/relationships/hyperlink" Target="https://arxiv.org/abs/2601.11516" TargetMode="External"/><Relationship Id="rId41" Type="http://schemas.openxmlformats.org/officeDocument/2006/relationships/hyperlink" Target="https://arxiv.org/abs/2601.21112" TargetMode="External"/><Relationship Id="rId67" Type="http://schemas.openxmlformats.org/officeDocument/2006/relationships/hyperlink" Target="https://arxiv.org/abs/2602.15198" TargetMode="External"/><Relationship Id="rId85" Type="http://schemas.openxmlformats.org/officeDocument/2006/relationships/hyperlink" Target="https://arxiv.org/abs/2603.13940" TargetMode="External"/><Relationship Id="rId77" Type="http://schemas.openxmlformats.org/officeDocument/2006/relationships/hyperlink" Target="https://arxiv.org/abs/2604.01151" TargetMode="External"/><Relationship Id="rId95" Type="http://schemas.openxmlformats.org/officeDocument/2006/relationships/hyperlink" Target="https://arxiv.org/abs/2605.27593" TargetMode="External"/><Relationship Id="rId75" Type="http://schemas.openxmlformats.org/officeDocument/2006/relationships/hyperlink" Target="https://arxiv.org/abs/2605.29178" TargetMode="External"/><Relationship Id="rId61" Type="http://schemas.openxmlformats.org/officeDocument/2006/relationships/hyperlink" Target="https://arxiv.org/abs/2606.11172" TargetMode="External"/><Relationship Id="rId53" Type="http://schemas.openxmlformats.org/officeDocument/2006/relationships/hyperlink" Target="https://arxiv.org/abs/2606.30449" TargetMode="External"/><Relationship Id="rId81" Type="http://schemas.openxmlformats.org/officeDocument/2006/relationships/hyperlink" Target="https://arxiv.org/abs/2607.05132" TargetMode="External"/><Relationship Id="rId79" Type="http://schemas.openxmlformats.org/officeDocument/2006/relationships/hyperlink" Target="https://arxiv.org/abs/2607.06503" TargetMode="External"/><Relationship Id="rId49" Type="http://schemas.openxmlformats.org/officeDocument/2006/relationships/hyperlink" Target="https://arxiv.org/abs/2608.02657" TargetMode="External"/><Relationship Id="rId83" Type="http://schemas.openxmlformats.org/officeDocument/2006/relationships/hyperlink" Target="https://arxiv.org/abs/2609.09090" TargetMode="External"/><Relationship Id="rId55" Type="http://schemas.openxmlformats.org/officeDocument/2006/relationships/hyperlink" Target="https://arxiv.org/abs/2610.04575" TargetMode="External"/><Relationship Id="rId93" Type="http://schemas.openxmlformats.org/officeDocument/2006/relationships/hyperlink" Target="https://arxiv.org/abs/2610.05295" TargetMode="External"/><Relationship Id="rId89" Type="http://schemas.openxmlformats.org/officeDocument/2006/relationships/hyperlink" Target="https://github.com/UKGovernmentBEIS/control-arena" TargetMode="External"/><Relationship Id="rId73" Type="http://schemas.openxmlformats.org/officeDocument/2006/relationships/hyperlink" Target="https://openai.com/index/hugging-face-incident-and-the-road-ahead/" TargetMode="External"/><Relationship Id="rId47" Type="http://schemas.openxmlformats.org/officeDocument/2006/relationships/hyperlink" Target="https://openrouter.ai/deepseek/deepseek-v4-flash" TargetMode="External"/><Relationship Id="rId71" Type="http://schemas.openxmlformats.org/officeDocument/2006/relationships/hyperlink" Target="https://openrouter.ai/openai/gpt-6-luna-decisions" TargetMode="External"/><Relationship Id="rId87" Type="http://schemas.openxmlformats.org/officeDocument/2006/relationships/hyperlink" Target="https://typesafe.ai/blog/introducing-system-one-models-and-jev" TargetMode="External"/><Relationship Id="rId59" Type="http://schemas.openxmlformats.org/officeDocument/2006/relationships/hyperlink" Target="https://www.redwoodresearch.org/research/hugging-face-incid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2026-10-25T15:24:04Z</dcterms:created>
  <dcterms:modified xsi:type="dcterms:W3CDTF">2026-10-25T15:24:04Z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/Users/leo/collusion-research/report/apa.csl</vt:lpwstr>
  </property>
</Properties>
</file>