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614F"/>
          <w:sz w:val="20"/>
        </w:rPr>
        <w:t>Hackathon Smart City Expo Cali 2026 · RETO-01 Cali Activa</w:t>
      </w:r>
    </w:p>
    <w:p>
      <w:r>
        <w:rPr>
          <w:b/>
          <w:color w:val="003D4A"/>
          <w:sz w:val="44"/>
        </w:rPr>
        <w:t>Entregable 1 · Alineación con el reto</w:t>
      </w:r>
    </w:p>
    <w:p>
      <w:r>
        <w:rPr>
          <w:i/>
          <w:sz w:val="25"/>
        </w:rPr>
        <w:t>Territorio Preparado: espacios y ayudas coordinados ante emergencias</w:t>
      </w:r>
    </w:p>
    <w:tbl>
      <w:tblPr>
        <w:tblStyle w:val="TableGrid"/>
        <w:tblW w:type="auto" w:w="0"/>
        <w:jc w:val="center"/>
        <w:tblLayout w:type="fixed"/>
        <w:tblLook w:firstColumn="1" w:firstRow="1" w:lastColumn="0" w:lastRow="0" w:noHBand="0" w:noVBand="1" w:val="04A0"/>
      </w:tblPr>
      <w:tblGrid>
        <w:gridCol w:w="2608"/>
        <w:gridCol w:w="6803"/>
      </w:tblGrid>
      <w:tr>
        <w:tc>
          <w:tcPr>
            <w:tcW w:type="dxa" w:w="2608"/>
            <w:shd w:val="clear" w:color="auto" w:fill="E6F2EF"/>
          </w:tcPr>
          <w:p>
            <w:r/>
            <w:r>
              <w:rPr>
                <w:b/>
                <w:sz w:val="19"/>
              </w:rPr>
              <w:t>Equipo</w:t>
            </w:r>
          </w:p>
        </w:tc>
        <w:tc>
          <w:tcPr>
            <w:tcW w:type="dxa" w:w="6803"/>
          </w:tcPr>
          <w:p>
            <w:r/>
            <w:r>
              <w:rPr>
                <w:sz w:val="19"/>
              </w:rPr>
              <w:t>William Ortiz · Herlin Echeverry · Pablo Arango · Bryan Martínez Villamarín</w:t>
            </w:r>
          </w:p>
        </w:tc>
      </w:tr>
      <w:tr>
        <w:tc>
          <w:tcPr>
            <w:tcW w:type="dxa" w:w="2608"/>
            <w:shd w:val="clear" w:color="auto" w:fill="E6F2EF"/>
          </w:tcPr>
          <w:p>
            <w:r/>
            <w:r>
              <w:rPr>
                <w:b/>
                <w:sz w:val="19"/>
              </w:rPr>
              <w:t>Reto</w:t>
            </w:r>
          </w:p>
        </w:tc>
        <w:tc>
          <w:tcPr>
            <w:tcW w:type="dxa" w:w="6803"/>
          </w:tcPr>
          <w:p>
            <w:r/>
            <w:r>
              <w:rPr>
                <w:sz w:val="19"/>
              </w:rPr>
              <w:t>RETO-01 Cali Activa: espacios públicos que se transforman para cuidar</w:t>
            </w:r>
          </w:p>
        </w:tc>
      </w:tr>
      <w:tr>
        <w:tc>
          <w:tcPr>
            <w:tcW w:type="dxa" w:w="2608"/>
            <w:shd w:val="clear" w:color="auto" w:fill="E6F2EF"/>
          </w:tcPr>
          <w:p>
            <w:r/>
            <w:r>
              <w:rPr>
                <w:b/>
                <w:sz w:val="19"/>
              </w:rPr>
              <w:t>Owner del reto</w:t>
            </w:r>
          </w:p>
        </w:tc>
        <w:tc>
          <w:tcPr>
            <w:tcW w:type="dxa" w:w="6803"/>
          </w:tcPr>
          <w:p>
            <w:r/>
            <w:r>
              <w:rPr>
                <w:sz w:val="19"/>
              </w:rPr>
              <w:t>Secretaría de Gestión del Riesgo de Emergencias y Desastres · líder técnico: DATIC</w:t>
            </w:r>
          </w:p>
        </w:tc>
      </w:tr>
      <w:tr>
        <w:tc>
          <w:tcPr>
            <w:tcW w:type="dxa" w:w="2608"/>
            <w:shd w:val="clear" w:color="auto" w:fill="E6F2EF"/>
          </w:tcPr>
          <w:p>
            <w:r/>
            <w:r>
              <w:rPr>
                <w:b/>
                <w:sz w:val="19"/>
              </w:rPr>
              <w:t>Fase del proceso</w:t>
            </w:r>
          </w:p>
        </w:tc>
        <w:tc>
          <w:tcPr>
            <w:tcW w:type="dxa" w:w="6803"/>
          </w:tcPr>
          <w:p>
            <w:r/>
            <w:r>
              <w:rPr>
                <w:sz w:val="19"/>
              </w:rPr>
              <w:t>Apertura y apropiación del reto · Artefactos 1 y 2 (23 y 25 de septiembre)</w:t>
            </w:r>
          </w:p>
        </w:tc>
      </w:tr>
      <w:tr>
        <w:tc>
          <w:tcPr>
            <w:tcW w:type="dxa" w:w="2608"/>
            <w:shd w:val="clear" w:color="auto" w:fill="E6F2EF"/>
          </w:tcPr>
          <w:p>
            <w:r/>
            <w:r>
              <w:rPr>
                <w:b/>
                <w:sz w:val="19"/>
              </w:rPr>
              <w:t>Criterio de evaluación que evidencia</w:t>
            </w:r>
          </w:p>
        </w:tc>
        <w:tc>
          <w:tcPr>
            <w:tcW w:type="dxa" w:w="6803"/>
          </w:tcPr>
          <w:p>
            <w:r/>
            <w:r>
              <w:rPr>
                <w:sz w:val="19"/>
              </w:rPr>
              <w:t>Pertinencia frente al reto y comprensión del problema (20 %)</w:t>
            </w:r>
          </w:p>
        </w:tc>
      </w:tr>
      <w:tr>
        <w:tc>
          <w:tcPr>
            <w:tcW w:type="dxa" w:w="2608"/>
            <w:shd w:val="clear" w:color="auto" w:fill="E6F2EF"/>
          </w:tcPr>
          <w:p>
            <w:r/>
            <w:r>
              <w:rPr>
                <w:b/>
                <w:sz w:val="19"/>
              </w:rPr>
              <w:t>Fecha</w:t>
            </w:r>
          </w:p>
        </w:tc>
        <w:tc>
          <w:tcPr>
            <w:tcW w:type="dxa" w:w="6803"/>
          </w:tcPr>
          <w:p>
            <w:r/>
            <w:r>
              <w:rPr>
                <w:sz w:val="19"/>
              </w:rPr>
              <w:t>Sábado 26 de septiembre de 2026</w:t>
            </w:r>
          </w:p>
        </w:tc>
      </w:tr>
      <w:tr>
        <w:tc>
          <w:tcPr>
            <w:tcW w:type="dxa" w:w="2608"/>
            <w:shd w:val="clear" w:color="auto" w:fill="E6F2EF"/>
          </w:tcPr>
          <w:p>
            <w:r/>
            <w:r>
              <w:rPr>
                <w:b/>
                <w:sz w:val="19"/>
              </w:rPr>
              <w:t>Prototipo público</w:t>
            </w:r>
          </w:p>
        </w:tc>
        <w:tc>
          <w:tcPr>
            <w:tcW w:type="dxa" w:w="6803"/>
          </w:tcPr>
          <w:p>
            <w:r/>
            <w:r>
              <w:rPr>
                <w:sz w:val="19"/>
              </w:rPr>
              <w:t>https://leonidas452528.github.io/hackaton-camaracomercio2026/</w:t>
            </w:r>
          </w:p>
        </w:tc>
      </w:tr>
    </w:tbl>
    <w:p/>
    <w:p>
      <w:pPr>
        <w:pStyle w:val="Heading1"/>
      </w:pPr>
      <w:r>
        <w:t>1. El reto oficial</w:t>
      </w:r>
    </w:p>
    <w:p>
      <w:r>
        <w:rPr>
          <w:b/>
        </w:rPr>
        <w:t xml:space="preserve">Pregunta retadora: </w:t>
      </w:r>
      <w:r>
        <w:t>¿Cómo podríamos transformar los espacios públicos de Cali en una red adaptable que, según el tipo de emergencia y las necesidades de la población, permita activar y operar de manera segura y coordinada funciones temporales de atención y recuperación, y facilite posteriormente el retorno del espacio a su uso cotidiano?</w:t>
      </w:r>
    </w:p>
    <w:p>
      <w:r>
        <w:rPr>
          <w:b/>
        </w:rPr>
        <w:t xml:space="preserve">Objetivo: </w:t>
      </w:r>
      <w:r>
        <w:t>diseñar y validar un prototipo de baja fidelidad para caracterizar espacios, analizar su aptitud según el tipo de emergencia, identificar las adecuaciones necesarias, activar entidades y servicios, hacer seguimiento y apoyar el retorno a su uso cotidiano.</w:t>
      </w:r>
    </w:p>
    <w:p>
      <w:r>
        <w:rPr>
          <w:b/>
        </w:rPr>
        <w:t xml:space="preserve">Entidades a articular: </w:t>
      </w:r>
      <w:r>
        <w:t>UAE Gestión de Bienes y Servicios, Secretarías de Infraestructura, Deporte, Seguridad y Justicia, Salud Pública, Bienestar Social y Educación, Planeación, EMCALI y UAESP.</w:t>
      </w:r>
    </w:p>
    <w:p>
      <w:pPr>
        <w:pStyle w:val="Heading1"/>
      </w:pPr>
      <w:r>
        <w:t>2. La frase del equipo (artefacto 1)</w:t>
      </w:r>
    </w:p>
    <w:p>
      <w:r>
        <w:t>«Queremos ayudar a las familias que deben refugiarse en espacios públicos de Cali durante una emergencia, y a la Secretaría de Gestión del Riesgo que los habilita, que enfrenta espacios que se activan sobre la marcha, sin saber si sirven para esa amenaza, qué les falta ni qué entidad responde, para que cada espacio se prepare antes, se active con criterios claros y vuelva a su uso cotidiano.»</w:t>
      </w:r>
    </w:p>
    <w:p>
      <w:pPr>
        <w:pStyle w:val="Heading1"/>
      </w:pPr>
      <w:r>
        <w:t>3. Quiénes viven el reto</w:t>
      </w:r>
    </w:p>
    <w:tbl>
      <w:tblPr>
        <w:tblStyle w:val="TableGrid"/>
        <w:tblW w:type="auto" w:w="0"/>
        <w:jc w:val="center"/>
        <w:tblLayout w:type="fixed"/>
        <w:tblLook w:firstColumn="1" w:firstRow="1" w:lastColumn="0" w:lastRow="0" w:noHBand="0" w:noVBand="1" w:val="04A0"/>
      </w:tblPr>
      <w:tblGrid>
        <w:gridCol w:w="2381"/>
        <w:gridCol w:w="7030"/>
      </w:tblGrid>
      <w:tr>
        <w:tc>
          <w:tcPr>
            <w:tcW w:type="dxa" w:w="2381"/>
            <w:shd w:val="clear" w:color="auto" w:fill="00614F"/>
          </w:tcPr>
          <w:p>
            <w:r/>
            <w:r>
              <w:rPr>
                <w:b/>
                <w:color w:val="FFFFFF"/>
                <w:sz w:val="19"/>
              </w:rPr>
              <w:t>Rol</w:t>
            </w:r>
          </w:p>
        </w:tc>
        <w:tc>
          <w:tcPr>
            <w:tcW w:type="dxa" w:w="7030"/>
            <w:shd w:val="clear" w:color="auto" w:fill="00614F"/>
          </w:tcPr>
          <w:p>
            <w:r/>
            <w:r>
              <w:rPr>
                <w:b/>
                <w:color w:val="FFFFFF"/>
                <w:sz w:val="19"/>
              </w:rPr>
              <w:t>Actores</w:t>
            </w:r>
          </w:p>
        </w:tc>
      </w:tr>
      <w:tr>
        <w:tc>
          <w:tcPr>
            <w:tcW w:type="dxa" w:w="2381"/>
          </w:tcPr>
          <w:p>
            <w:r/>
            <w:r>
              <w:rPr>
                <w:sz w:val="19"/>
              </w:rPr>
              <w:t>Quién vive el problema</w:t>
            </w:r>
          </w:p>
        </w:tc>
        <w:tc>
          <w:tcPr>
            <w:tcW w:type="dxa" w:w="7030"/>
          </w:tcPr>
          <w:p>
            <w:r/>
            <w:r>
              <w:rPr>
                <w:sz w:val="19"/>
              </w:rPr>
              <w:t>Familias damnificadas (con niños, adultos mayores, personas con discapacidad y migrantes); comunidades de Chiminangos I y II y Calimio Norte que montaron albergues propios; vecinos y usuarios habituales de parques y escenarios.</w:t>
            </w:r>
          </w:p>
        </w:tc>
      </w:tr>
      <w:tr>
        <w:tc>
          <w:tcPr>
            <w:tcW w:type="dxa" w:w="2381"/>
          </w:tcPr>
          <w:p>
            <w:r/>
            <w:r>
              <w:rPr>
                <w:sz w:val="19"/>
              </w:rPr>
              <w:t>Quién decide</w:t>
            </w:r>
          </w:p>
        </w:tc>
        <w:tc>
          <w:tcPr>
            <w:tcW w:type="dxa" w:w="7030"/>
          </w:tcPr>
          <w:p>
            <w:r/>
            <w:r>
              <w:rPr>
                <w:sz w:val="19"/>
              </w:rPr>
              <w:t>Secretaría de Gestión del Riesgo de Emergencias y Desastres y Consejo Municipal de Gestión del Riesgo (Ley 1523 de 2012). Líder técnico: DATIC.</w:t>
            </w:r>
          </w:p>
        </w:tc>
      </w:tr>
      <w:tr>
        <w:tc>
          <w:tcPr>
            <w:tcW w:type="dxa" w:w="2381"/>
          </w:tcPr>
          <w:p>
            <w:r/>
            <w:r>
              <w:rPr>
                <w:sz w:val="19"/>
              </w:rPr>
              <w:t>Quién puede ayudar</w:t>
            </w:r>
          </w:p>
        </w:tc>
        <w:tc>
          <w:tcPr>
            <w:tcW w:type="dxa" w:w="7030"/>
          </w:tcPr>
          <w:p>
            <w:r/>
            <w:r>
              <w:rPr>
                <w:sz w:val="19"/>
              </w:rPr>
              <w:t>Secretaría del Deporte, DAPM, EMCALI, UAESP, ICBF, Secretaría de Salud, Bienestar Social, Bomberos, Cruz Roja, Defensa Civil, juntas de acción comunal, Defensoría del Pueblo y CVC.</w:t>
            </w:r>
          </w:p>
        </w:tc>
      </w:tr>
    </w:tbl>
    <w:p/>
    <w:p>
      <w:pPr>
        <w:pStyle w:val="Heading1"/>
      </w:pPr>
      <w:r>
        <w:t>4. Lo que sabemos: evidencia con semáforo</w:t>
      </w:r>
    </w:p>
    <w:tbl>
      <w:tblPr>
        <w:tblStyle w:val="TableGrid"/>
        <w:tblW w:type="auto" w:w="0"/>
        <w:jc w:val="center"/>
        <w:tblLayout w:type="fixed"/>
        <w:tblLook w:firstColumn="1" w:firstRow="1" w:lastColumn="0" w:lastRow="0" w:noHBand="0" w:noVBand="1" w:val="04A0"/>
      </w:tblPr>
      <w:tblGrid>
        <w:gridCol w:w="5669"/>
        <w:gridCol w:w="1474"/>
        <w:gridCol w:w="2268"/>
      </w:tblGrid>
      <w:tr>
        <w:tc>
          <w:tcPr>
            <w:tcW w:type="dxa" w:w="5669"/>
            <w:shd w:val="clear" w:color="auto" w:fill="00614F"/>
          </w:tcPr>
          <w:p>
            <w:r/>
            <w:r>
              <w:rPr>
                <w:b/>
                <w:color w:val="FFFFFF"/>
                <w:sz w:val="19"/>
              </w:rPr>
              <w:t>Evidencia</w:t>
            </w:r>
          </w:p>
        </w:tc>
        <w:tc>
          <w:tcPr>
            <w:tcW w:type="dxa" w:w="1474"/>
            <w:shd w:val="clear" w:color="auto" w:fill="00614F"/>
          </w:tcPr>
          <w:p>
            <w:r/>
            <w:r>
              <w:rPr>
                <w:b/>
                <w:color w:val="FFFFFF"/>
                <w:sz w:val="19"/>
              </w:rPr>
              <w:t>Estado</w:t>
            </w:r>
          </w:p>
        </w:tc>
        <w:tc>
          <w:tcPr>
            <w:tcW w:type="dxa" w:w="2268"/>
            <w:shd w:val="clear" w:color="auto" w:fill="00614F"/>
          </w:tcPr>
          <w:p>
            <w:r/>
            <w:r>
              <w:rPr>
                <w:b/>
                <w:color w:val="FFFFFF"/>
                <w:sz w:val="19"/>
              </w:rPr>
              <w:t>Fuente</w:t>
            </w:r>
          </w:p>
        </w:tc>
      </w:tr>
      <w:tr>
        <w:tc>
          <w:tcPr>
            <w:tcW w:type="dxa" w:w="5669"/>
          </w:tcPr>
          <w:p>
            <w:r/>
            <w:r>
              <w:rPr>
                <w:sz w:val="19"/>
              </w:rPr>
              <w:t>Tras el sismo del 10 de agosto de 2026 se reportaron más de 30 familias y 143 personas alojadas en la Cancha de Hockey.</w:t>
            </w:r>
          </w:p>
        </w:tc>
        <w:tc>
          <w:tcPr>
            <w:tcW w:type="dxa" w:w="1474"/>
          </w:tcPr>
          <w:p>
            <w:r/>
            <w:r>
              <w:rPr>
                <w:sz w:val="19"/>
              </w:rPr>
              <w:t>Verde</w:t>
            </w:r>
          </w:p>
        </w:tc>
        <w:tc>
          <w:tcPr>
            <w:tcW w:type="dxa" w:w="2268"/>
          </w:tcPr>
          <w:p>
            <w:r/>
            <w:r>
              <w:rPr>
                <w:sz w:val="19"/>
              </w:rPr>
              <w:t>Portafolio de Retos, Alcaldía de Cali, v2.0</w:t>
            </w:r>
          </w:p>
        </w:tc>
      </w:tr>
      <w:tr>
        <w:tc>
          <w:tcPr>
            <w:tcW w:type="dxa" w:w="5669"/>
          </w:tcPr>
          <w:p>
            <w:r/>
            <w:r>
              <w:rPr>
                <w:sz w:val="19"/>
              </w:rPr>
              <w:t>La Defensoría encontró 336 familias (1.046 personas) en 3 albergues autogestionados en canchas de Chiminangos I, Chiminangos II y Calimio Norte.</w:t>
            </w:r>
          </w:p>
        </w:tc>
        <w:tc>
          <w:tcPr>
            <w:tcW w:type="dxa" w:w="1474"/>
          </w:tcPr>
          <w:p>
            <w:r/>
            <w:r>
              <w:rPr>
                <w:sz w:val="19"/>
              </w:rPr>
              <w:t>Verde</w:t>
            </w:r>
          </w:p>
        </w:tc>
        <w:tc>
          <w:tcPr>
            <w:tcW w:type="dxa" w:w="2268"/>
          </w:tcPr>
          <w:p>
            <w:r/>
            <w:r>
              <w:rPr>
                <w:sz w:val="19"/>
              </w:rPr>
              <w:t>Defensoría del Pueblo</w:t>
            </w:r>
          </w:p>
        </w:tc>
      </w:tr>
      <w:tr>
        <w:tc>
          <w:tcPr>
            <w:tcW w:type="dxa" w:w="5669"/>
          </w:tcPr>
          <w:p>
            <w:r/>
            <w:r>
              <w:rPr>
                <w:sz w:val="19"/>
              </w:rPr>
              <w:t>45.138 familias inscritas en el Registro Único de Damnificados (corte al 17 de septiembre) y 3.403 edificaciones evaluadas.</w:t>
            </w:r>
          </w:p>
        </w:tc>
        <w:tc>
          <w:tcPr>
            <w:tcW w:type="dxa" w:w="1474"/>
          </w:tcPr>
          <w:p>
            <w:r/>
            <w:r>
              <w:rPr>
                <w:sz w:val="19"/>
              </w:rPr>
              <w:t>Verde</w:t>
            </w:r>
          </w:p>
        </w:tc>
        <w:tc>
          <w:tcPr>
            <w:tcW w:type="dxa" w:w="2268"/>
          </w:tcPr>
          <w:p>
            <w:r/>
            <w:r>
              <w:rPr>
                <w:sz w:val="19"/>
              </w:rPr>
              <w:t>El País</w:t>
            </w:r>
          </w:p>
        </w:tc>
      </w:tr>
      <w:tr>
        <w:tc>
          <w:tcPr>
            <w:tcW w:type="dxa" w:w="5669"/>
          </w:tcPr>
          <w:p>
            <w:r/>
            <w:r>
              <w:rPr>
                <w:sz w:val="19"/>
              </w:rPr>
              <w:t>Al 31 de agosto, de 43 escenarios deportivos revisados, 12 estaban habilitados y 22 (51,2 %) esperaban inspección técnica.</w:t>
            </w:r>
          </w:p>
        </w:tc>
        <w:tc>
          <w:tcPr>
            <w:tcW w:type="dxa" w:w="1474"/>
          </w:tcPr>
          <w:p>
            <w:r/>
            <w:r>
              <w:rPr>
                <w:sz w:val="19"/>
              </w:rPr>
              <w:t>Verde</w:t>
            </w:r>
          </w:p>
        </w:tc>
        <w:tc>
          <w:tcPr>
            <w:tcW w:type="dxa" w:w="2268"/>
          </w:tcPr>
          <w:p>
            <w:r/>
            <w:r>
              <w:rPr>
                <w:sz w:val="19"/>
              </w:rPr>
              <w:t>Semana</w:t>
            </w:r>
          </w:p>
        </w:tc>
      </w:tr>
      <w:tr>
        <w:tc>
          <w:tcPr>
            <w:tcW w:type="dxa" w:w="5669"/>
          </w:tcPr>
          <w:p>
            <w:r/>
            <w:r>
              <w:rPr>
                <w:sz w:val="19"/>
              </w:rPr>
              <w:t>El 24 de febrero de 2026 el río Cauca llegó a 9,25 m y se declaró alerta naranja en el oriente.</w:t>
            </w:r>
          </w:p>
        </w:tc>
        <w:tc>
          <w:tcPr>
            <w:tcW w:type="dxa" w:w="1474"/>
          </w:tcPr>
          <w:p>
            <w:r/>
            <w:r>
              <w:rPr>
                <w:sz w:val="19"/>
              </w:rPr>
              <w:t>Verde</w:t>
            </w:r>
          </w:p>
        </w:tc>
        <w:tc>
          <w:tcPr>
            <w:tcW w:type="dxa" w:w="2268"/>
          </w:tcPr>
          <w:p>
            <w:r/>
            <w:r>
              <w:rPr>
                <w:sz w:val="19"/>
              </w:rPr>
              <w:t>CWMAS</w:t>
            </w:r>
          </w:p>
        </w:tc>
      </w:tr>
      <w:tr>
        <w:tc>
          <w:tcPr>
            <w:tcW w:type="dxa" w:w="5669"/>
          </w:tcPr>
          <w:p>
            <w:r/>
            <w:r>
              <w:rPr>
                <w:sz w:val="19"/>
              </w:rPr>
              <w:t>OCHA reporta cifras que no coinciden, familias sin información sobre inspecciones y fallas de agua y saneamiento en albergues.</w:t>
            </w:r>
          </w:p>
        </w:tc>
        <w:tc>
          <w:tcPr>
            <w:tcW w:type="dxa" w:w="1474"/>
          </w:tcPr>
          <w:p>
            <w:r/>
            <w:r>
              <w:rPr>
                <w:sz w:val="19"/>
              </w:rPr>
              <w:t>Verde</w:t>
            </w:r>
          </w:p>
        </w:tc>
        <w:tc>
          <w:tcPr>
            <w:tcW w:type="dxa" w:w="2268"/>
          </w:tcPr>
          <w:p>
            <w:r/>
            <w:r>
              <w:rPr>
                <w:sz w:val="19"/>
              </w:rPr>
              <w:t>Infobae/OCHA</w:t>
            </w:r>
          </w:p>
        </w:tc>
      </w:tr>
      <w:tr>
        <w:tc>
          <w:tcPr>
            <w:tcW w:type="dxa" w:w="5669"/>
          </w:tcPr>
          <w:p>
            <w:r/>
            <w:r>
              <w:rPr>
                <w:sz w:val="19"/>
              </w:rPr>
              <w:t>Cali tiene 1.970 espacios públicos efectivos inventariados con geometría.</w:t>
            </w:r>
          </w:p>
        </w:tc>
        <w:tc>
          <w:tcPr>
            <w:tcW w:type="dxa" w:w="1474"/>
          </w:tcPr>
          <w:p>
            <w:r/>
            <w:r>
              <w:rPr>
                <w:sz w:val="19"/>
              </w:rPr>
              <w:t>Verde</w:t>
            </w:r>
          </w:p>
        </w:tc>
        <w:tc>
          <w:tcPr>
            <w:tcW w:type="dxa" w:w="2268"/>
          </w:tcPr>
          <w:p>
            <w:r/>
            <w:r>
              <w:rPr>
                <w:sz w:val="19"/>
              </w:rPr>
              <w:t>DAPM/IDESC</w:t>
            </w:r>
          </w:p>
        </w:tc>
      </w:tr>
      <w:tr>
        <w:tc>
          <w:tcPr>
            <w:tcW w:type="dxa" w:w="5669"/>
          </w:tcPr>
          <w:p>
            <w:r/>
            <w:r>
              <w:rPr>
                <w:sz w:val="19"/>
              </w:rPr>
              <w:t>El IDEAM prevé un El Niño muy fuerte con pico en noviembre de 2026.</w:t>
            </w:r>
          </w:p>
        </w:tc>
        <w:tc>
          <w:tcPr>
            <w:tcW w:type="dxa" w:w="1474"/>
          </w:tcPr>
          <w:p>
            <w:r/>
            <w:r>
              <w:rPr>
                <w:sz w:val="19"/>
              </w:rPr>
              <w:t>Verde</w:t>
            </w:r>
          </w:p>
        </w:tc>
        <w:tc>
          <w:tcPr>
            <w:tcW w:type="dxa" w:w="2268"/>
          </w:tcPr>
          <w:p>
            <w:r/>
            <w:r>
              <w:rPr>
                <w:sz w:val="19"/>
              </w:rPr>
              <w:t>Ciudad Región</w:t>
            </w:r>
          </w:p>
        </w:tc>
      </w:tr>
      <w:tr>
        <w:tc>
          <w:tcPr>
            <w:tcW w:type="dxa" w:w="5669"/>
          </w:tcPr>
          <w:p>
            <w:r/>
            <w:r>
              <w:rPr>
                <w:sz w:val="19"/>
              </w:rPr>
              <w:t>La cifra de fallecidos en Cali difiere entre fuentes (105 frente a 154).</w:t>
            </w:r>
          </w:p>
        </w:tc>
        <w:tc>
          <w:tcPr>
            <w:tcW w:type="dxa" w:w="1474"/>
          </w:tcPr>
          <w:p>
            <w:r/>
            <w:r>
              <w:rPr>
                <w:sz w:val="19"/>
              </w:rPr>
              <w:t>Amarillo: no se usa</w:t>
            </w:r>
          </w:p>
        </w:tc>
        <w:tc>
          <w:tcPr>
            <w:tcW w:type="dxa" w:w="2268"/>
          </w:tcPr>
          <w:p>
            <w:r/>
            <w:r>
              <w:rPr>
                <w:sz w:val="19"/>
              </w:rPr>
              <w:t>Repositorio oficial de la Alcaldía</w:t>
            </w:r>
          </w:p>
        </w:tc>
      </w:tr>
      <w:tr>
        <w:tc>
          <w:tcPr>
            <w:tcW w:type="dxa" w:w="5669"/>
          </w:tcPr>
          <w:p>
            <w:r/>
            <w:r>
              <w:rPr>
                <w:sz w:val="19"/>
              </w:rPr>
              <w:t>Hoy no existe una ficha de aptitud de cada espacio según la amenaza.</w:t>
            </w:r>
          </w:p>
        </w:tc>
        <w:tc>
          <w:tcPr>
            <w:tcW w:type="dxa" w:w="1474"/>
          </w:tcPr>
          <w:p>
            <w:r/>
            <w:r>
              <w:rPr>
                <w:sz w:val="19"/>
              </w:rPr>
              <w:t>Rojo: supuesto</w:t>
            </w:r>
          </w:p>
        </w:tc>
        <w:tc>
          <w:tcPr>
            <w:tcW w:type="dxa" w:w="2268"/>
          </w:tcPr>
          <w:p>
            <w:r/>
            <w:r>
              <w:rPr>
                <w:sz w:val="19"/>
              </w:rPr>
              <w:t>Por validar con la Secretaría</w:t>
            </w:r>
          </w:p>
        </w:tc>
      </w:tr>
      <w:tr>
        <w:tc>
          <w:tcPr>
            <w:tcW w:type="dxa" w:w="5669"/>
          </w:tcPr>
          <w:p>
            <w:r/>
            <w:r>
              <w:rPr>
                <w:sz w:val="19"/>
              </w:rPr>
              <w:t>No está claro qué entidad responde por cada servicio de un albergue.</w:t>
            </w:r>
          </w:p>
        </w:tc>
        <w:tc>
          <w:tcPr>
            <w:tcW w:type="dxa" w:w="1474"/>
          </w:tcPr>
          <w:p>
            <w:r/>
            <w:r>
              <w:rPr>
                <w:sz w:val="19"/>
              </w:rPr>
              <w:t>Rojo: supuesto</w:t>
            </w:r>
          </w:p>
        </w:tc>
        <w:tc>
          <w:tcPr>
            <w:tcW w:type="dxa" w:w="2268"/>
          </w:tcPr>
          <w:p>
            <w:r/>
            <w:r>
              <w:rPr>
                <w:sz w:val="19"/>
              </w:rPr>
              <w:t>Por validar con las entidades</w:t>
            </w:r>
          </w:p>
        </w:tc>
      </w:tr>
    </w:tbl>
    <w:p/>
    <w:p>
      <w:pPr>
        <w:pStyle w:val="Heading1"/>
      </w:pPr>
      <w:r>
        <w:t>5. Hallazgos propios (lo que la ficha no dice)</w:t>
      </w:r>
    </w:p>
    <w:p>
      <w:pPr>
        <w:pStyle w:val="ListBullet"/>
      </w:pPr>
      <w:r>
        <w:rPr>
          <w:b/>
        </w:rPr>
        <w:t xml:space="preserve">Albergues fuera del circuito oficial. </w:t>
      </w:r>
      <w:r>
        <w:t>La comunidad montó 3 albergues autogestionados (336 familias, 1.046 personas) en Chiminangos I y II y Calimio Norte (Defensoría del Pueblo).</w:t>
      </w:r>
    </w:p>
    <w:p>
      <w:pPr>
        <w:pStyle w:val="ListBullet"/>
      </w:pPr>
      <w:r>
        <w:rPr>
          <w:b/>
        </w:rPr>
        <w:t xml:space="preserve">Se refugiaron de un sismo en una zona inundable. </w:t>
      </w:r>
      <w:r>
        <w:t>Esas canchas tienen amenaza alta de inundación, suelo licuable y quedan a entre 72 y 152 m del dique del río Cauca (cruce propio de las amenazas del POT, Acuerdo 0373 de 2014, con el espacio público del DAPM/IDESC).</w:t>
      </w:r>
    </w:p>
    <w:p>
      <w:pPr>
        <w:pStyle w:val="ListBullet"/>
      </w:pPr>
      <w:r>
        <w:rPr>
          <w:b/>
        </w:rPr>
        <w:t xml:space="preserve">La aptitud depende de la amenaza. </w:t>
      </w:r>
      <w:r>
        <w:t>En el oriente, sobre el Jarillón (comunas 6, 7, 13, 14 y 21), entre el 55 y el 92 % de los espacios públicos tiene amenaza alta de inundación (cruce propio de los 1.970 espacios con el POT).</w:t>
      </w:r>
    </w:p>
    <w:p>
      <w:pPr>
        <w:pStyle w:val="ListBullet"/>
      </w:pPr>
      <w:r>
        <w:rPr>
          <w:b/>
        </w:rPr>
        <w:t xml:space="preserve">El retorno es un cuello de botella. </w:t>
      </w:r>
      <w:r>
        <w:t>Al 31 de agosto, 22 de 43 escenarios (51,2 %) seguían esperando inspección técnica para volver a su uso (Semana).</w:t>
      </w:r>
    </w:p>
    <w:p>
      <w:pPr>
        <w:pStyle w:val="ListBullet"/>
      </w:pPr>
      <w:r>
        <w:rPr>
          <w:b/>
        </w:rPr>
        <w:t xml:space="preserve">Falta caracterización y trazabilidad. </w:t>
      </w:r>
      <w:r>
        <w:t>La Defensoría observó traslados de ayudas con destino desconocido y OCHA reporta cifras que no coinciden entre fuentes.</w:t>
      </w:r>
    </w:p>
    <w:p>
      <w:pPr>
        <w:pStyle w:val="Heading1"/>
      </w:pPr>
      <w:r>
        <w:t>6. El reto acotado (artefacto 2)</w:t>
      </w:r>
    </w:p>
    <w:tbl>
      <w:tblPr>
        <w:tblStyle w:val="TableGrid"/>
        <w:tblW w:type="auto" w:w="0"/>
        <w:jc w:val="center"/>
        <w:tblLayout w:type="fixed"/>
        <w:tblLook w:firstColumn="1" w:firstRow="1" w:lastColumn="0" w:lastRow="0" w:noHBand="0" w:noVBand="1" w:val="04A0"/>
      </w:tblPr>
      <w:tblGrid>
        <w:gridCol w:w="2608"/>
        <w:gridCol w:w="6803"/>
      </w:tblGrid>
      <w:tr>
        <w:tc>
          <w:tcPr>
            <w:tcW w:type="dxa" w:w="2608"/>
            <w:shd w:val="clear" w:color="auto" w:fill="E6F2EF"/>
          </w:tcPr>
          <w:p>
            <w:r/>
            <w:r>
              <w:rPr>
                <w:b/>
                <w:sz w:val="19"/>
              </w:rPr>
              <w:t>Usuario institucional (owner)</w:t>
            </w:r>
          </w:p>
        </w:tc>
        <w:tc>
          <w:tcPr>
            <w:tcW w:type="dxa" w:w="6803"/>
          </w:tcPr>
          <w:p>
            <w:r/>
            <w:r>
              <w:rPr>
                <w:sz w:val="19"/>
              </w:rPr>
              <w:t>Secretaría de Gestión del Riesgo de Emergencias y Desastres de Cali. Líder técnico: DATIC.</w:t>
            </w:r>
          </w:p>
        </w:tc>
      </w:tr>
      <w:tr>
        <w:tc>
          <w:tcPr>
            <w:tcW w:type="dxa" w:w="2608"/>
            <w:shd w:val="clear" w:color="auto" w:fill="E6F2EF"/>
          </w:tcPr>
          <w:p>
            <w:r/>
            <w:r>
              <w:rPr>
                <w:b/>
                <w:sz w:val="19"/>
              </w:rPr>
              <w:t>Beneficiario ciudadano</w:t>
            </w:r>
          </w:p>
        </w:tc>
        <w:tc>
          <w:tcPr>
            <w:tcW w:type="dxa" w:w="6803"/>
          </w:tcPr>
          <w:p>
            <w:r/>
            <w:r>
              <w:rPr>
                <w:sz w:val="19"/>
              </w:rPr>
              <w:t>Familias que deben alojarse temporalmente en espacios públicos durante una emergencia, en especial niños, adultos mayores y personas con discapacidad (siempre en conteos agregados), y las comunidades que hoy improvisan albergues propios.</w:t>
            </w:r>
          </w:p>
        </w:tc>
      </w:tr>
      <w:tr>
        <w:tc>
          <w:tcPr>
            <w:tcW w:type="dxa" w:w="2608"/>
            <w:shd w:val="clear" w:color="auto" w:fill="E6F2EF"/>
          </w:tcPr>
          <w:p>
            <w:r/>
            <w:r>
              <w:rPr>
                <w:b/>
                <w:sz w:val="19"/>
              </w:rPr>
              <w:t>Territorio concreto</w:t>
            </w:r>
          </w:p>
        </w:tc>
        <w:tc>
          <w:tcPr>
            <w:tcW w:type="dxa" w:w="6803"/>
          </w:tcPr>
          <w:p>
            <w:r/>
            <w:r>
              <w:rPr>
                <w:sz w:val="19"/>
              </w:rPr>
              <w:t>Oriente de Cali sobre el Jarillón del río Cauca (comunas 6, 7, 13, 14 y 21), con foco en Chiminangos I, Chiminangos II y Calimio Norte, y los escenarios usados tras el sismo (Cancha de Hockey Miguel Calero, Diamante de Béisbol y Unidad Deportiva Jaime Aparicio).</w:t>
            </w:r>
          </w:p>
        </w:tc>
      </w:tr>
      <w:tr>
        <w:tc>
          <w:tcPr>
            <w:tcW w:type="dxa" w:w="2608"/>
            <w:shd w:val="clear" w:color="auto" w:fill="E6F2EF"/>
          </w:tcPr>
          <w:p>
            <w:r/>
            <w:r>
              <w:rPr>
                <w:b/>
                <w:sz w:val="19"/>
              </w:rPr>
              <w:t>Momento crítico de fricción</w:t>
            </w:r>
          </w:p>
        </w:tc>
        <w:tc>
          <w:tcPr>
            <w:tcW w:type="dxa" w:w="6803"/>
          </w:tcPr>
          <w:p>
            <w:r/>
            <w:r>
              <w:rPr>
                <w:sz w:val="19"/>
              </w:rPr>
              <w:t>Las primeras horas después de la alerta, cuando hay que decidir qué espacio abrir sin saber si sirve para esa amenaza, qué le falta y quién responde; y el cierre, cuando el espacio debe volver a su uso sin una revisión ni un acta clara.</w:t>
            </w:r>
          </w:p>
        </w:tc>
      </w:tr>
      <w:tr>
        <w:tc>
          <w:tcPr>
            <w:tcW w:type="dxa" w:w="2608"/>
            <w:shd w:val="clear" w:color="auto" w:fill="E6F2EF"/>
          </w:tcPr>
          <w:p>
            <w:r/>
            <w:r>
              <w:rPr>
                <w:b/>
                <w:sz w:val="19"/>
              </w:rPr>
              <w:t>Falla del proceso actual</w:t>
            </w:r>
          </w:p>
        </w:tc>
        <w:tc>
          <w:tcPr>
            <w:tcW w:type="dxa" w:w="6803"/>
          </w:tcPr>
          <w:p>
            <w:r/>
            <w:r>
              <w:rPr>
                <w:sz w:val="19"/>
              </w:rPr>
              <w:t>Los espacios se habilitan sobre la marcha, sin una ficha de aptitud por amenaza. Las necesidades y los responsables se coordinan por teléfono, sin registro de brechas ni seguimiento. El retorno depende de inspecciones represadas. Mientras tanto, la comunidad se refugia por su cuenta, incluso en zonas inundables.</w:t>
            </w:r>
          </w:p>
        </w:tc>
      </w:tr>
      <w:tr>
        <w:tc>
          <w:tcPr>
            <w:tcW w:type="dxa" w:w="2608"/>
            <w:shd w:val="clear" w:color="auto" w:fill="E6F2EF"/>
          </w:tcPr>
          <w:p>
            <w:r/>
            <w:r>
              <w:rPr>
                <w:b/>
                <w:sz w:val="19"/>
              </w:rPr>
              <w:t>Hipótesis de solución No-Code</w:t>
            </w:r>
          </w:p>
        </w:tc>
        <w:tc>
          <w:tcPr>
            <w:tcW w:type="dxa" w:w="6803"/>
          </w:tcPr>
          <w:p>
            <w:r/>
            <w:r>
              <w:rPr>
                <w:sz w:val="19"/>
              </w:rPr>
              <w:t>Una aplicación web con datos abiertos que, dada una amenaza y un conteo agregado de población, descarte los espacios expuestos, proponga hasta 3 candidatos con criterios visibles, calcule necesidades según Esfera y el responsable de cada servicio, y exporte un borrador para que la autoridad decida.</w:t>
            </w:r>
          </w:p>
        </w:tc>
      </w:tr>
    </w:tbl>
    <w:p/>
    <w:p>
      <w:r>
        <w:rPr>
          <w:b/>
        </w:rPr>
        <w:t xml:space="preserve">¿Cómo podríamos…? </w:t>
      </w:r>
      <w:r>
        <w:t>¿Cómo podríamos ayudar a la Secretaría de Gestión del Riesgo a preparar y activar los espacios públicos del oriente de Cali según el tipo de amenaza, con criterios visibles, necesidades calculadas y responsables claros, para que las familias no terminen refugiándose en zonas expuestas y cada espacio vuelva a su uso cotidiano?</w:t>
      </w:r>
    </w:p>
    <w:p>
      <w:pPr>
        <w:pStyle w:val="Heading1"/>
      </w:pPr>
      <w:r>
        <w:t>7. Cómo responde la propuesta a cada indicador de la ficha</w:t>
      </w:r>
    </w:p>
    <w:tbl>
      <w:tblPr>
        <w:tblStyle w:val="TableGrid"/>
        <w:tblW w:type="auto" w:w="0"/>
        <w:jc w:val="center"/>
        <w:tblLayout w:type="fixed"/>
        <w:tblLook w:firstColumn="1" w:firstRow="1" w:lastColumn="0" w:lastRow="0" w:noHBand="0" w:noVBand="1" w:val="04A0"/>
      </w:tblPr>
      <w:tblGrid>
        <w:gridCol w:w="2948"/>
        <w:gridCol w:w="6463"/>
      </w:tblGrid>
      <w:tr>
        <w:tc>
          <w:tcPr>
            <w:tcW w:type="dxa" w:w="2948"/>
            <w:shd w:val="clear" w:color="auto" w:fill="00614F"/>
          </w:tcPr>
          <w:p>
            <w:r/>
            <w:r>
              <w:rPr>
                <w:b/>
                <w:color w:val="FFFFFF"/>
                <w:sz w:val="19"/>
              </w:rPr>
              <w:t>Indicador del reto</w:t>
            </w:r>
          </w:p>
        </w:tc>
        <w:tc>
          <w:tcPr>
            <w:tcW w:type="dxa" w:w="6463"/>
            <w:shd w:val="clear" w:color="auto" w:fill="00614F"/>
          </w:tcPr>
          <w:p>
            <w:r/>
            <w:r>
              <w:rPr>
                <w:b/>
                <w:color w:val="FFFFFF"/>
                <w:sz w:val="19"/>
              </w:rPr>
              <w:t>Cómo lo atiende Territorio Preparado</w:t>
            </w:r>
          </w:p>
        </w:tc>
      </w:tr>
      <w:tr>
        <w:tc>
          <w:tcPr>
            <w:tcW w:type="dxa" w:w="2948"/>
          </w:tcPr>
          <w:p>
            <w:r/>
            <w:r>
              <w:rPr>
                <w:sz w:val="19"/>
              </w:rPr>
              <w:t>Diferenciar la respuesta según el tipo de emergencia</w:t>
            </w:r>
          </w:p>
        </w:tc>
        <w:tc>
          <w:tcPr>
            <w:tcW w:type="dxa" w:w="6463"/>
          </w:tcPr>
          <w:p>
            <w:r/>
            <w:r>
              <w:rPr>
                <w:sz w:val="19"/>
              </w:rPr>
              <w:t>Reglas por amenaza: en inundación descarta cruces con las capas del POT; en sismo excluye licuación y corrimiento y exige inspección; sequía e incendios no preseleccionan sin evidencia.</w:t>
            </w:r>
          </w:p>
        </w:tc>
      </w:tr>
      <w:tr>
        <w:tc>
          <w:tcPr>
            <w:tcW w:type="dxa" w:w="2948"/>
          </w:tcPr>
          <w:p>
            <w:r/>
            <w:r>
              <w:rPr>
                <w:sz w:val="19"/>
              </w:rPr>
              <w:t>Número de variables de preparación</w:t>
            </w:r>
          </w:p>
        </w:tc>
        <w:tc>
          <w:tcPr>
            <w:tcW w:type="dxa" w:w="6463"/>
          </w:tcPr>
          <w:p>
            <w:r/>
            <w:r>
              <w:rPr>
                <w:sz w:val="19"/>
              </w:rPr>
              <w:t>Huella cartográfica, cruces de amenaza, baños, agua, área cubierta, reservas de circulación y atención, y evidencia pendiente por espacio.</w:t>
            </w:r>
          </w:p>
        </w:tc>
      </w:tr>
      <w:tr>
        <w:tc>
          <w:tcPr>
            <w:tcW w:type="dxa" w:w="2948"/>
          </w:tcPr>
          <w:p>
            <w:r/>
            <w:r>
              <w:rPr>
                <w:sz w:val="19"/>
              </w:rPr>
              <w:t>Capacidad de identificar brechas</w:t>
            </w:r>
          </w:p>
        </w:tc>
        <w:tc>
          <w:tcPr>
            <w:tcW w:type="dxa" w:w="6463"/>
          </w:tcPr>
          <w:p>
            <w:r/>
            <w:r>
              <w:rPr>
                <w:sz w:val="19"/>
              </w:rPr>
              <w:t>Necesidad calculada frente a existencia; si la existencia se desconoce, la brecha queda como «no calculable», no como cero.</w:t>
            </w:r>
          </w:p>
        </w:tc>
      </w:tr>
      <w:tr>
        <w:tc>
          <w:tcPr>
            <w:tcW w:type="dxa" w:w="2948"/>
          </w:tcPr>
          <w:p>
            <w:r/>
            <w:r>
              <w:rPr>
                <w:sz w:val="19"/>
              </w:rPr>
              <w:t>Trazabilidad necesidad → servicio → entidad</w:t>
            </w:r>
          </w:p>
        </w:tc>
        <w:tc>
          <w:tcPr>
            <w:tcW w:type="dxa" w:w="6463"/>
          </w:tcPr>
          <w:p>
            <w:r/>
            <w:r>
              <w:rPr>
                <w:sz w:val="19"/>
              </w:rPr>
              <w:t>Cada servicio tiene un responsable propuesto y un estado local («Por medir», «En revisión»).</w:t>
            </w:r>
          </w:p>
        </w:tc>
      </w:tr>
      <w:tr>
        <w:tc>
          <w:tcPr>
            <w:tcW w:type="dxa" w:w="2948"/>
          </w:tcPr>
          <w:p>
            <w:r/>
            <w:r>
              <w:rPr>
                <w:sz w:val="19"/>
              </w:rPr>
              <w:t>Tiempo para generar una propuesta de activación</w:t>
            </w:r>
          </w:p>
        </w:tc>
        <w:tc>
          <w:tcPr>
            <w:tcW w:type="dxa" w:w="6463"/>
          </w:tcPr>
          <w:p>
            <w:r/>
            <w:r>
              <w:rPr>
                <w:sz w:val="19"/>
              </w:rPr>
              <w:t>El borrador se genera en la demo en minutos. Falta medirlo con usuarios reales.</w:t>
            </w:r>
          </w:p>
        </w:tc>
      </w:tr>
      <w:tr>
        <w:tc>
          <w:tcPr>
            <w:tcW w:type="dxa" w:w="2948"/>
          </w:tcPr>
          <w:p>
            <w:r/>
            <w:r>
              <w:rPr>
                <w:sz w:val="19"/>
              </w:rPr>
              <w:t>Ciclo completo, de la preparación a la recuperación</w:t>
            </w:r>
          </w:p>
        </w:tc>
        <w:tc>
          <w:tcPr>
            <w:tcW w:type="dxa" w:w="6463"/>
          </w:tcPr>
          <w:p>
            <w:r/>
            <w:r>
              <w:rPr>
                <w:sz w:val="19"/>
              </w:rPr>
              <w:t>Preparación y activación implementadas; recuperación representada en la maqueta (uso cotidiano → emergencia → recuperación), con el acta de retorno como siguiente paso.</w:t>
            </w:r>
          </w:p>
        </w:tc>
      </w:tr>
    </w:tbl>
    <w:p/>
    <w:p>
      <w:pPr>
        <w:pStyle w:val="Heading1"/>
      </w:pPr>
      <w:r>
        <w:t>Líneas rojas que respeta este entregable</w:t>
      </w:r>
    </w:p>
    <w:p>
      <w:pPr>
        <w:pStyle w:val="ListBullet"/>
      </w:pPr>
      <w:r>
        <w:t>La herramienta propone y la autoridad decide: la activación de un espacio la decide la Secretaría de Gestión del Riesgo o el Consejo Municipal de Gestión del Riesgo (Ley 1523 de 2012, Decreto 2157 de 2017).</w:t>
      </w:r>
    </w:p>
    <w:p>
      <w:pPr>
        <w:pStyle w:val="ListBullet"/>
      </w:pPr>
      <w:r>
        <w:t>No reemplaza evaluaciones estructurales (Ley 400 de 1997, NSR-10): solo registra si existe una evaluación vigente.</w:t>
      </w:r>
    </w:p>
    <w:p>
      <w:pPr>
        <w:pStyle w:val="ListBullet"/>
      </w:pPr>
      <w:r>
        <w:t>No invade las competencias de Bomberos (Ley 1575 de 2012) ni emite conceptos de seguridad humana o contra incendios.</w:t>
      </w:r>
    </w:p>
    <w:p>
      <w:pPr>
        <w:pStyle w:val="ListBullet"/>
      </w:pPr>
      <w:r>
        <w:t>Datos mínimos (Ley 1581 de 2012): solo conteos agregados, sin nombres ni documentos y sin datos de menores (Ley 1098 de 2006).</w:t>
      </w:r>
    </w:p>
    <w:p>
      <w:pPr>
        <w:pStyle w:val="ListBullet"/>
      </w:pPr>
      <w:r>
        <w:t>Sin reconocimiento facial ni identificación individual.</w:t>
      </w:r>
    </w:p>
    <w:p>
      <w:pPr>
        <w:pStyle w:val="ListBullet"/>
      </w:pPr>
      <w:r>
        <w:t>Criterios explicables: cada propuesta muestra las variables y reglas que usó.</w:t>
      </w:r>
    </w:p>
    <w:p>
      <w:pPr>
        <w:pStyle w:val="Heading1"/>
      </w:pPr>
      <w:r>
        <w:t>Fuentes</w:t>
      </w:r>
    </w:p>
    <w:p>
      <w:pPr>
        <w:pStyle w:val="ListBullet"/>
      </w:pPr>
      <w:r>
        <w:rPr>
          <w:b/>
        </w:rPr>
        <w:t xml:space="preserve">Defensoría del Pueblo: 336 familias en albergues de Cali: </w:t>
      </w:r>
      <w:r>
        <w:t>https://www.defensoria.gov.co/web/guest/-/defensoria-pide-atencion-urgente-para-336-familias-en-albergues-de-cali</w:t>
      </w:r>
    </w:p>
    <w:p>
      <w:pPr>
        <w:pStyle w:val="ListBullet"/>
      </w:pPr>
      <w:r>
        <w:rPr>
          <w:b/>
        </w:rPr>
        <w:t xml:space="preserve">El País: balance de la Alcaldía tras el sismo (RUD al 17 de septiembre): </w:t>
      </w:r>
      <w:r>
        <w:t>https://www.elpais.com.co/cali/alcaldia-de-cali-entrega-balance-de-gestion-tras-el-sismo-mas-de-3400-edificaciones-evaluadas-y-45000-familias-damnificadas-2338.html</w:t>
      </w:r>
    </w:p>
    <w:p>
      <w:pPr>
        <w:pStyle w:val="ListBullet"/>
      </w:pPr>
      <w:r>
        <w:rPr>
          <w:b/>
        </w:rPr>
        <w:t xml:space="preserve">Semana: escenarios deportivos al 31 de agosto: </w:t>
      </w:r>
      <w:r>
        <w:t>https://www.semana.com/nacion/cali/articulo/tras-el-terremoto-cali-informa-cuales-escenarios-deportivos-vuelven-a-estar-al-servicio-de-los-atletas-desde-este-31-de-agosto/202628/</w:t>
      </w:r>
    </w:p>
    <w:p>
      <w:pPr>
        <w:pStyle w:val="ListBullet"/>
      </w:pPr>
      <w:r>
        <w:rPr>
          <w:b/>
        </w:rPr>
        <w:t xml:space="preserve">CWMAS: río Cauca en alerta naranja (24 de febrero de 2026): </w:t>
      </w:r>
      <w:r>
        <w:t>https://cwmas.com.co/cali/2026/02/24/rio-cauca-en-alerta-naranja-aumenta-el-caudal-en-el-oriente-de-cali/</w:t>
      </w:r>
    </w:p>
    <w:p>
      <w:pPr>
        <w:pStyle w:val="ListBullet"/>
      </w:pPr>
      <w:r>
        <w:rPr>
          <w:b/>
        </w:rPr>
        <w:t xml:space="preserve">Infobae/OCHA: vacíos de información (25 de septiembre de 2026): </w:t>
      </w:r>
      <w:r>
        <w:t>https://www.infobae.com/colombia/2026/09/25/ocha-alerta-vacios-de-informacion-y-atencion-tras-terremoto-que-deja-486917-afectados-en-colombia/</w:t>
      </w:r>
    </w:p>
    <w:p>
      <w:pPr>
        <w:pStyle w:val="ListBullet"/>
      </w:pPr>
      <w:r>
        <w:rPr>
          <w:b/>
        </w:rPr>
        <w:t xml:space="preserve">DAPM/IDESC: espacio público efectivo (datos abiertos de Cali): </w:t>
      </w:r>
      <w:r>
        <w:t>https://datos.cali.gov.co/dataset/epou-espacio-publico-efectivo</w:t>
      </w:r>
    </w:p>
    <w:p>
      <w:pPr>
        <w:pStyle w:val="ListBullet"/>
      </w:pPr>
      <w:r>
        <w:rPr>
          <w:b/>
        </w:rPr>
        <w:t xml:space="preserve">Ciudad Región: pico de El Niño en noviembre de 2026 (IDEAM): </w:t>
      </w:r>
      <w:r>
        <w:t>https://ciudadregion.com/regiones/valle-del-cauca/cali/pico-fenomeno-nino-noviembre-valle-cauca-niveles-embalses</w:t>
      </w:r>
    </w:p>
    <w:p>
      <w:r>
        <w:t>Bitácora completa con todas las fuentes: https://github.com/leonidas452528/hackaton-camaracomercio2026/blob/main/docs/PROYECTO.md</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6"/>
        <w:sz w:val="17"/>
      </w:rPr>
      <w:t>Territorio Preparado · Entregable 1 · Alineación con el reto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3D4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03D4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003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