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14F"/>
          <w:sz w:val="20"/>
        </w:rPr>
        <w:t>Hackathon Smart City Expo Cali 2026 · RETO-01 Cali Activa</w:t>
      </w:r>
    </w:p>
    <w:p>
      <w:r>
        <w:rPr>
          <w:b/>
          <w:color w:val="003D4A"/>
          <w:sz w:val="44"/>
        </w:rPr>
        <w:t>Entregable 6 · Bitácora de validación</w:t>
      </w:r>
    </w:p>
    <w:p>
      <w:r>
        <w:rPr>
          <w:i/>
          <w:sz w:val="25"/>
        </w:rPr>
        <w:t>Territorio Preparado: espacios y ayudas coordinados ante emergencias</w:t>
      </w:r>
    </w:p>
    <w:tbl>
      <w:tblPr>
        <w:tblStyle w:val="TableGrid"/>
        <w:tblW w:type="auto" w:w="0"/>
        <w:jc w:val="center"/>
        <w:tblLayout w:type="fixed"/>
        <w:tblLook w:firstColumn="1" w:firstRow="1" w:lastColumn="0" w:lastRow="0" w:noHBand="0" w:noVBand="1" w:val="04A0"/>
      </w:tblPr>
      <w:tblGrid>
        <w:gridCol w:w="2608"/>
        <w:gridCol w:w="6803"/>
      </w:tblGrid>
      <w:tr>
        <w:tc>
          <w:tcPr>
            <w:tcW w:type="dxa" w:w="2608"/>
            <w:shd w:val="clear" w:color="auto" w:fill="E6F2EF"/>
          </w:tcPr>
          <w:p>
            <w:r/>
            <w:r>
              <w:rPr>
                <w:b/>
                <w:sz w:val="19"/>
              </w:rPr>
              <w:t>Equipo</w:t>
            </w:r>
          </w:p>
        </w:tc>
        <w:tc>
          <w:tcPr>
            <w:tcW w:type="dxa" w:w="6803"/>
          </w:tcPr>
          <w:p>
            <w:r/>
            <w:r>
              <w:rPr>
                <w:sz w:val="19"/>
              </w:rPr>
              <w:t>William Ortiz · Herlin Echeverry · Pablo Arango · Bryan Martínez Villamarín</w:t>
            </w:r>
          </w:p>
        </w:tc>
      </w:tr>
      <w:tr>
        <w:tc>
          <w:tcPr>
            <w:tcW w:type="dxa" w:w="2608"/>
            <w:shd w:val="clear" w:color="auto" w:fill="E6F2EF"/>
          </w:tcPr>
          <w:p>
            <w:r/>
            <w:r>
              <w:rPr>
                <w:b/>
                <w:sz w:val="19"/>
              </w:rPr>
              <w:t>Reto</w:t>
            </w:r>
          </w:p>
        </w:tc>
        <w:tc>
          <w:tcPr>
            <w:tcW w:type="dxa" w:w="6803"/>
          </w:tcPr>
          <w:p>
            <w:r/>
            <w:r>
              <w:rPr>
                <w:sz w:val="19"/>
              </w:rPr>
              <w:t>RETO-01 Cali Activa: espacios públicos que se transforman para cuidar</w:t>
            </w:r>
          </w:p>
        </w:tc>
      </w:tr>
      <w:tr>
        <w:tc>
          <w:tcPr>
            <w:tcW w:type="dxa" w:w="2608"/>
            <w:shd w:val="clear" w:color="auto" w:fill="E6F2EF"/>
          </w:tcPr>
          <w:p>
            <w:r/>
            <w:r>
              <w:rPr>
                <w:b/>
                <w:sz w:val="19"/>
              </w:rPr>
              <w:t>Owner del reto</w:t>
            </w:r>
          </w:p>
        </w:tc>
        <w:tc>
          <w:tcPr>
            <w:tcW w:type="dxa" w:w="6803"/>
          </w:tcPr>
          <w:p>
            <w:r/>
            <w:r>
              <w:rPr>
                <w:sz w:val="19"/>
              </w:rPr>
              <w:t>Secretaría de Gestión del Riesgo de Emergencias y Desastres · líder técnico: DATIC</w:t>
            </w:r>
          </w:p>
        </w:tc>
      </w:tr>
      <w:tr>
        <w:tc>
          <w:tcPr>
            <w:tcW w:type="dxa" w:w="2608"/>
            <w:shd w:val="clear" w:color="auto" w:fill="E6F2EF"/>
          </w:tcPr>
          <w:p>
            <w:r/>
            <w:r>
              <w:rPr>
                <w:b/>
                <w:sz w:val="19"/>
              </w:rPr>
              <w:t>Fase del proceso</w:t>
            </w:r>
          </w:p>
        </w:tc>
        <w:tc>
          <w:tcPr>
            <w:tcW w:type="dxa" w:w="6803"/>
          </w:tcPr>
          <w:p>
            <w:r/>
            <w:r>
              <w:rPr>
                <w:sz w:val="19"/>
              </w:rPr>
              <w:t>Sprint de validación · Artefacto 5: prototipo, prueba y bitácora (26 de septiembre)</w:t>
            </w:r>
          </w:p>
        </w:tc>
      </w:tr>
      <w:tr>
        <w:tc>
          <w:tcPr>
            <w:tcW w:type="dxa" w:w="2608"/>
            <w:shd w:val="clear" w:color="auto" w:fill="E6F2EF"/>
          </w:tcPr>
          <w:p>
            <w:r/>
            <w:r>
              <w:rPr>
                <w:b/>
                <w:sz w:val="19"/>
              </w:rPr>
              <w:t>Criterio de evaluación que evidencia</w:t>
            </w:r>
          </w:p>
        </w:tc>
        <w:tc>
          <w:tcPr>
            <w:tcW w:type="dxa" w:w="6803"/>
          </w:tcPr>
          <w:p>
            <w:r/>
            <w:r>
              <w:rPr>
                <w:sz w:val="19"/>
              </w:rPr>
              <w:t>Calidad de la validación de hipótesis (5 %) · Calidad y coherencia del prototipo (10 %)</w:t>
            </w:r>
          </w:p>
        </w:tc>
      </w:tr>
      <w:tr>
        <w:tc>
          <w:tcPr>
            <w:tcW w:type="dxa" w:w="2608"/>
            <w:shd w:val="clear" w:color="auto" w:fill="E6F2EF"/>
          </w:tcPr>
          <w:p>
            <w:r/>
            <w:r>
              <w:rPr>
                <w:b/>
                <w:sz w:val="19"/>
              </w:rPr>
              <w:t>Fecha</w:t>
            </w:r>
          </w:p>
        </w:tc>
        <w:tc>
          <w:tcPr>
            <w:tcW w:type="dxa" w:w="6803"/>
          </w:tcPr>
          <w:p>
            <w:r/>
            <w:r>
              <w:rPr>
                <w:sz w:val="19"/>
              </w:rPr>
              <w:t>Sábado 26 de septiembre de 2026</w:t>
            </w:r>
          </w:p>
        </w:tc>
      </w:tr>
      <w:tr>
        <w:tc>
          <w:tcPr>
            <w:tcW w:type="dxa" w:w="2608"/>
            <w:shd w:val="clear" w:color="auto" w:fill="E6F2EF"/>
          </w:tcPr>
          <w:p>
            <w:r/>
            <w:r>
              <w:rPr>
                <w:b/>
                <w:sz w:val="19"/>
              </w:rPr>
              <w:t>Prototipo público</w:t>
            </w:r>
          </w:p>
        </w:tc>
        <w:tc>
          <w:tcPr>
            <w:tcW w:type="dxa" w:w="6803"/>
          </w:tcPr>
          <w:p>
            <w:r/>
            <w:r>
              <w:rPr>
                <w:sz w:val="19"/>
              </w:rPr>
              <w:t>https://leonidas452528.github.io/hackaton-camaracomercio2026/</w:t>
            </w:r>
          </w:p>
        </w:tc>
      </w:tr>
    </w:tbl>
    <w:p/>
    <w:p>
      <w:pPr>
        <w:pStyle w:val="Heading1"/>
      </w:pPr>
      <w:r>
        <w:t>1. Hipótesis y estado</w:t>
      </w:r>
    </w:p>
    <w:tbl>
      <w:tblPr>
        <w:tblStyle w:val="TableGrid"/>
        <w:tblW w:type="auto" w:w="0"/>
        <w:jc w:val="center"/>
        <w:tblLayout w:type="fixed"/>
        <w:tblLook w:firstColumn="1" w:firstRow="1" w:lastColumn="0" w:lastRow="0" w:noHBand="0" w:noVBand="1" w:val="04A0"/>
      </w:tblPr>
      <w:tblGrid>
        <w:gridCol w:w="3402"/>
        <w:gridCol w:w="2721"/>
        <w:gridCol w:w="3288"/>
      </w:tblGrid>
      <w:tr>
        <w:tc>
          <w:tcPr>
            <w:tcW w:type="dxa" w:w="3402"/>
            <w:shd w:val="clear" w:color="auto" w:fill="00614F"/>
          </w:tcPr>
          <w:p>
            <w:r/>
            <w:r>
              <w:rPr>
                <w:b/>
                <w:color w:val="FFFFFF"/>
                <w:sz w:val="19"/>
              </w:rPr>
              <w:t>Hipótesis</w:t>
            </w:r>
          </w:p>
        </w:tc>
        <w:tc>
          <w:tcPr>
            <w:tcW w:type="dxa" w:w="2721"/>
            <w:shd w:val="clear" w:color="auto" w:fill="00614F"/>
          </w:tcPr>
          <w:p>
            <w:r/>
            <w:r>
              <w:rPr>
                <w:b/>
                <w:color w:val="FFFFFF"/>
                <w:sz w:val="19"/>
              </w:rPr>
              <w:t>Cómo se valida</w:t>
            </w:r>
          </w:p>
        </w:tc>
        <w:tc>
          <w:tcPr>
            <w:tcW w:type="dxa" w:w="3288"/>
            <w:shd w:val="clear" w:color="auto" w:fill="00614F"/>
          </w:tcPr>
          <w:p>
            <w:r/>
            <w:r>
              <w:rPr>
                <w:b/>
                <w:color w:val="FFFFFF"/>
                <w:sz w:val="19"/>
              </w:rPr>
              <w:t>Estado al 26 de septiembre</w:t>
            </w:r>
          </w:p>
        </w:tc>
      </w:tr>
      <w:tr>
        <w:tc>
          <w:tcPr>
            <w:tcW w:type="dxa" w:w="3402"/>
          </w:tcPr>
          <w:p>
            <w:r/>
            <w:r>
              <w:rPr>
                <w:sz w:val="19"/>
              </w:rPr>
              <w:t>H1. Los espacios se activan sin saber si sirven para la amenaza.</w:t>
            </w:r>
          </w:p>
        </w:tc>
        <w:tc>
          <w:tcPr>
            <w:tcW w:type="dxa" w:w="2721"/>
          </w:tcPr>
          <w:p>
            <w:r/>
            <w:r>
              <w:rPr>
                <w:sz w:val="19"/>
              </w:rPr>
              <w:t>Evidencia documental y cruce de datos</w:t>
            </w:r>
          </w:p>
        </w:tc>
        <w:tc>
          <w:tcPr>
            <w:tcW w:type="dxa" w:w="3288"/>
          </w:tcPr>
          <w:p>
            <w:r/>
            <w:r>
              <w:rPr>
                <w:sz w:val="19"/>
              </w:rPr>
              <w:t>Apoyada: albergues autogestionados a 72–152 m del dique, en amenaza alta de inundación</w:t>
            </w:r>
          </w:p>
        </w:tc>
      </w:tr>
      <w:tr>
        <w:tc>
          <w:tcPr>
            <w:tcW w:type="dxa" w:w="3402"/>
          </w:tcPr>
          <w:p>
            <w:r/>
            <w:r>
              <w:rPr>
                <w:sz w:val="19"/>
              </w:rPr>
              <w:t>H2. Con datos abiertos se puede hacer una primera preselección por amenaza.</w:t>
            </w:r>
          </w:p>
        </w:tc>
        <w:tc>
          <w:tcPr>
            <w:tcW w:type="dxa" w:w="2721"/>
          </w:tcPr>
          <w:p>
            <w:r/>
            <w:r>
              <w:rPr>
                <w:sz w:val="19"/>
              </w:rPr>
              <w:t>Prototipo con 1.970 espacios y las capas del POT</w:t>
            </w:r>
          </w:p>
        </w:tc>
        <w:tc>
          <w:tcPr>
            <w:tcW w:type="dxa" w:w="3288"/>
          </w:tcPr>
          <w:p>
            <w:r/>
            <w:r>
              <w:rPr>
                <w:sz w:val="19"/>
              </w:rPr>
              <w:t>Validada técnicamente (TRL 3 como meta)</w:t>
            </w:r>
          </w:p>
        </w:tc>
      </w:tr>
      <w:tr>
        <w:tc>
          <w:tcPr>
            <w:tcW w:type="dxa" w:w="3402"/>
          </w:tcPr>
          <w:p>
            <w:r/>
            <w:r>
              <w:rPr>
                <w:sz w:val="19"/>
              </w:rPr>
              <w:t>H3. No está claro qué entidad responde por cada servicio.</w:t>
            </w:r>
          </w:p>
        </w:tc>
        <w:tc>
          <w:tcPr>
            <w:tcW w:type="dxa" w:w="2721"/>
          </w:tcPr>
          <w:p>
            <w:r/>
            <w:r>
              <w:rPr>
                <w:sz w:val="19"/>
              </w:rPr>
              <w:t>Defensoría, OCHA y entrevistas</w:t>
            </w:r>
          </w:p>
        </w:tc>
        <w:tc>
          <w:tcPr>
            <w:tcW w:type="dxa" w:w="3288"/>
          </w:tcPr>
          <w:p>
            <w:r/>
            <w:r>
              <w:rPr>
                <w:sz w:val="19"/>
              </w:rPr>
              <w:t>Apoyada por evidencia documental; entrevistas pendientes</w:t>
            </w:r>
          </w:p>
        </w:tc>
      </w:tr>
      <w:tr>
        <w:tc>
          <w:tcPr>
            <w:tcW w:type="dxa" w:w="3402"/>
          </w:tcPr>
          <w:p>
            <w:r/>
            <w:r>
              <w:rPr>
                <w:sz w:val="19"/>
              </w:rPr>
              <w:t>H4. La Secretaría usaría una recomendación explicable si conserva la decisión.</w:t>
            </w:r>
          </w:p>
        </w:tc>
        <w:tc>
          <w:tcPr>
            <w:tcW w:type="dxa" w:w="2721"/>
          </w:tcPr>
          <w:p>
            <w:r/>
            <w:r>
              <w:rPr>
                <w:sz w:val="19"/>
              </w:rPr>
              <w:t>Sesión con la Secretaría de Gestión del Riesgo</w:t>
            </w:r>
          </w:p>
        </w:tc>
        <w:tc>
          <w:tcPr>
            <w:tcW w:type="dxa" w:w="3288"/>
          </w:tcPr>
          <w:p>
            <w:r/>
            <w:r>
              <w:rPr>
                <w:sz w:val="19"/>
              </w:rPr>
              <w:t>Pendiente</w:t>
            </w:r>
          </w:p>
        </w:tc>
      </w:tr>
      <w:tr>
        <w:tc>
          <w:tcPr>
            <w:tcW w:type="dxa" w:w="3402"/>
          </w:tcPr>
          <w:p>
            <w:r/>
            <w:r>
              <w:rPr>
                <w:sz w:val="19"/>
              </w:rPr>
              <w:t>H5. Las JAC compartirían conteos agregados de sus albergues.</w:t>
            </w:r>
          </w:p>
        </w:tc>
        <w:tc>
          <w:tcPr>
            <w:tcW w:type="dxa" w:w="2721"/>
          </w:tcPr>
          <w:p>
            <w:r/>
            <w:r>
              <w:rPr>
                <w:sz w:val="19"/>
              </w:rPr>
              <w:t>Conversación con una JAC de Chiminangos o Calimio</w:t>
            </w:r>
          </w:p>
        </w:tc>
        <w:tc>
          <w:tcPr>
            <w:tcW w:type="dxa" w:w="3288"/>
          </w:tcPr>
          <w:p>
            <w:r/>
            <w:r>
              <w:rPr>
                <w:sz w:val="19"/>
              </w:rPr>
              <w:t>Pendiente</w:t>
            </w:r>
          </w:p>
        </w:tc>
      </w:tr>
    </w:tbl>
    <w:p/>
    <w:p>
      <w:pPr>
        <w:pStyle w:val="Heading1"/>
      </w:pPr>
      <w:r>
        <w:t>2. Evidencia de que el problema existe</w:t>
      </w:r>
    </w:p>
    <w:p>
      <w:pPr>
        <w:pStyle w:val="ListBullet"/>
      </w:pPr>
      <w:r>
        <w:rPr>
          <w:b/>
        </w:rPr>
        <w:t xml:space="preserve">Defensoría del Pueblo: </w:t>
      </w:r>
      <w:r>
        <w:t>336 familias (1.046 personas) en 3 albergues autogestionados; traslados de ayudas con destino desconocido por falta de caracterización.</w:t>
      </w:r>
    </w:p>
    <w:p>
      <w:pPr>
        <w:pStyle w:val="ListBullet"/>
      </w:pPr>
      <w:r>
        <w:rPr>
          <w:b/>
        </w:rPr>
        <w:t xml:space="preserve">OCHA: </w:t>
      </w:r>
      <w:r>
        <w:t>cifras que no coinciden entre fuentes, familias sin información sobre inspecciones y fallas de agua y saneamiento en los albergues.</w:t>
      </w:r>
    </w:p>
    <w:p>
      <w:pPr>
        <w:pStyle w:val="ListBullet"/>
      </w:pPr>
      <w:r>
        <w:rPr>
          <w:b/>
        </w:rPr>
        <w:t xml:space="preserve">Semana: </w:t>
      </w:r>
      <w:r>
        <w:t>al 31 de agosto, 22 de 43 escenarios deportivos seguían esperando inspección técnica.</w:t>
      </w:r>
    </w:p>
    <w:p>
      <w:pPr>
        <w:pStyle w:val="ListBullet"/>
      </w:pPr>
      <w:r>
        <w:rPr>
          <w:b/>
        </w:rPr>
        <w:t xml:space="preserve">Cruce propio de datos: </w:t>
      </w:r>
      <w:r>
        <w:t>en las comunas del Jarillón, entre el 55 y el 92 % de los espacios públicos tiene amenaza alta de inundación.</w:t>
      </w:r>
    </w:p>
    <w:p>
      <w:pPr>
        <w:pStyle w:val="Heading1"/>
      </w:pPr>
      <w:r>
        <w:t>3. Validación técnica del prototipo</w:t>
      </w:r>
    </w:p>
    <w:tbl>
      <w:tblPr>
        <w:tblStyle w:val="TableGrid"/>
        <w:tblW w:type="auto" w:w="0"/>
        <w:jc w:val="center"/>
        <w:tblLayout w:type="fixed"/>
        <w:tblLook w:firstColumn="1" w:firstRow="1" w:lastColumn="0" w:lastRow="0" w:noHBand="0" w:noVBand="1" w:val="04A0"/>
      </w:tblPr>
      <w:tblGrid>
        <w:gridCol w:w="6009"/>
        <w:gridCol w:w="3402"/>
      </w:tblGrid>
      <w:tr>
        <w:tc>
          <w:tcPr>
            <w:tcW w:type="dxa" w:w="6009"/>
            <w:shd w:val="clear" w:color="auto" w:fill="00614F"/>
          </w:tcPr>
          <w:p>
            <w:r/>
            <w:r>
              <w:rPr>
                <w:b/>
                <w:color w:val="FFFFFF"/>
                <w:sz w:val="19"/>
              </w:rPr>
              <w:t>Prueba</w:t>
            </w:r>
          </w:p>
        </w:tc>
        <w:tc>
          <w:tcPr>
            <w:tcW w:type="dxa" w:w="3402"/>
            <w:shd w:val="clear" w:color="auto" w:fill="00614F"/>
          </w:tcPr>
          <w:p>
            <w:r/>
            <w:r>
              <w:rPr>
                <w:b/>
                <w:color w:val="FFFFFF"/>
                <w:sz w:val="19"/>
              </w:rPr>
              <w:t>Resultado</w:t>
            </w:r>
          </w:p>
        </w:tc>
      </w:tr>
      <w:tr>
        <w:tc>
          <w:tcPr>
            <w:tcW w:type="dxa" w:w="6009"/>
          </w:tcPr>
          <w:p>
            <w:r/>
            <w:r>
              <w:rPr>
                <w:sz w:val="19"/>
              </w:rPr>
              <w:t>Compilación de producción (TypeScript estricto)</w:t>
            </w:r>
          </w:p>
        </w:tc>
        <w:tc>
          <w:tcPr>
            <w:tcW w:type="dxa" w:w="3402"/>
          </w:tcPr>
          <w:p>
            <w:r/>
            <w:r>
              <w:rPr>
                <w:sz w:val="19"/>
              </w:rPr>
              <w:t>Correcta</w:t>
            </w:r>
          </w:p>
        </w:tc>
      </w:tr>
      <w:tr>
        <w:tc>
          <w:tcPr>
            <w:tcW w:type="dxa" w:w="6009"/>
          </w:tcPr>
          <w:p>
            <w:r/>
            <w:r>
              <w:rPr>
                <w:sz w:val="19"/>
              </w:rPr>
              <w:t>Pruebas automáticas (geometría, acopio, reglas de selección, trazabilidad sin datos inventados)</w:t>
            </w:r>
          </w:p>
        </w:tc>
        <w:tc>
          <w:tcPr>
            <w:tcW w:type="dxa" w:w="3402"/>
          </w:tcPr>
          <w:p>
            <w:r/>
            <w:r>
              <w:rPr>
                <w:sz w:val="19"/>
              </w:rPr>
              <w:t>22 de 22 aprobadas</w:t>
            </w:r>
          </w:p>
        </w:tc>
      </w:tr>
      <w:tr>
        <w:tc>
          <w:tcPr>
            <w:tcW w:type="dxa" w:w="6009"/>
          </w:tcPr>
          <w:p>
            <w:r/>
            <w:r>
              <w:rPr>
                <w:sz w:val="19"/>
              </w:rPr>
              <w:t>Pruebas de navegador de avisos, SMS y prevención en móvil</w:t>
            </w:r>
          </w:p>
        </w:tc>
        <w:tc>
          <w:tcPr>
            <w:tcW w:type="dxa" w:w="3402"/>
          </w:tcPr>
          <w:p>
            <w:r/>
            <w:r>
              <w:rPr>
                <w:sz w:val="19"/>
              </w:rPr>
              <w:t>Aprobadas el 25 de septiembre</w:t>
            </w:r>
          </w:p>
        </w:tc>
      </w:tr>
      <w:tr>
        <w:tc>
          <w:tcPr>
            <w:tcW w:type="dxa" w:w="6009"/>
          </w:tcPr>
          <w:p>
            <w:r/>
            <w:r>
              <w:rPr>
                <w:sz w:val="19"/>
              </w:rPr>
              <w:t>Comparación de 9 capas archivadas con los servicios WFS actuales</w:t>
            </w:r>
          </w:p>
        </w:tc>
        <w:tc>
          <w:tcPr>
            <w:tcW w:type="dxa" w:w="3402"/>
          </w:tcPr>
          <w:p>
            <w:r/>
            <w:r>
              <w:rPr>
                <w:sz w:val="19"/>
              </w:rPr>
              <w:t>Coincidieron en geometrías y atributos (25 de septiembre)</w:t>
            </w:r>
          </w:p>
        </w:tc>
      </w:tr>
      <w:tr>
        <w:tc>
          <w:tcPr>
            <w:tcW w:type="dxa" w:w="6009"/>
          </w:tcPr>
          <w:p>
            <w:r/>
            <w:r>
              <w:rPr>
                <w:sz w:val="19"/>
              </w:rPr>
              <w:t>Pestaña «El kit»: revisión a 1440 y 390 píxeles</w:t>
            </w:r>
          </w:p>
        </w:tc>
        <w:tc>
          <w:tcPr>
            <w:tcW w:type="dxa" w:w="3402"/>
          </w:tcPr>
          <w:p>
            <w:r/>
            <w:r>
              <w:rPr>
                <w:sz w:val="19"/>
              </w:rPr>
              <w:t>Tres imágenes con texto alternativo, sin desborde</w:t>
            </w:r>
          </w:p>
        </w:tc>
      </w:tr>
      <w:tr>
        <w:tc>
          <w:tcPr>
            <w:tcW w:type="dxa" w:w="6009"/>
          </w:tcPr>
          <w:p>
            <w:r/>
            <w:r>
              <w:rPr>
                <w:sz w:val="19"/>
              </w:rPr>
              <w:t>Publicación automática en GitHub Pages</w:t>
            </w:r>
          </w:p>
        </w:tc>
        <w:tc>
          <w:tcPr>
            <w:tcW w:type="dxa" w:w="3402"/>
          </w:tcPr>
          <w:p>
            <w:r/>
            <w:r>
              <w:rPr>
                <w:sz w:val="19"/>
              </w:rPr>
              <w:t>Pruebas y compilación antes de cada publicación</w:t>
            </w:r>
          </w:p>
        </w:tc>
      </w:tr>
    </w:tbl>
    <w:p/>
    <w:p>
      <w:r>
        <w:rPr>
          <w:b/>
        </w:rPr>
        <w:t xml:space="preserve">Prototipo público: </w:t>
      </w:r>
      <w:r>
        <w:t>https://leonidas452528.github.io/hackaton-camaracomercio2026/</w:t>
      </w:r>
    </w:p>
    <w:p>
      <w:r>
        <w:rPr>
          <w:b/>
        </w:rPr>
        <w:t xml:space="preserve">Datos cargados: </w:t>
      </w:r>
      <w:r>
        <w:t>1.970 espacios públicos efectivos y 1.021 registros deportivos (DAPM/IDESC), amenazas del POT (inundación, licuación y remoción) y 1.090 puntos de daño del sismo (Copernicus EMSR916 e ICube-SERTIT). SIMULADOS y rotulados: la población del escenario, las reservas de área del acopio, el IoT del kit y la difusión SMS. Sin datos personales.</w:t>
      </w:r>
    </w:p>
    <w:p>
      <w:pPr>
        <w:pStyle w:val="Heading1"/>
      </w:pPr>
      <w:r>
        <w:t>4. Rondas de prueba con usuarios</w:t>
      </w:r>
    </w:p>
    <w:p>
      <w:r>
        <w:rPr>
          <w:b/>
        </w:rPr>
        <w:t xml:space="preserve">Estado: </w:t>
      </w:r>
      <w:r>
        <w:t>Las rondas con usuarios reales todavía no se han hecho. Se registran aquí cuando ocurran, solo con el rol de la persona, sin nombres ni datos de contacto. No se reemplazan con simulaciones.</w:t>
      </w:r>
    </w:p>
    <w:p>
      <w:pPr>
        <w:pStyle w:val="Heading2"/>
      </w:pPr>
      <w:r>
        <w:t>Ronda 1</w:t>
      </w:r>
    </w:p>
    <w:tbl>
      <w:tblPr>
        <w:tblStyle w:val="TableGrid"/>
        <w:tblW w:type="auto" w:w="0"/>
        <w:jc w:val="center"/>
        <w:tblLayout w:type="fixed"/>
        <w:tblLook w:firstColumn="1" w:firstRow="1" w:lastColumn="0" w:lastRow="0" w:noHBand="0" w:noVBand="1" w:val="04A0"/>
      </w:tblPr>
      <w:tblGrid>
        <w:gridCol w:w="2608"/>
        <w:gridCol w:w="6803"/>
      </w:tblGrid>
      <w:tr>
        <w:tc>
          <w:tcPr>
            <w:tcW w:type="dxa" w:w="2608"/>
            <w:shd w:val="clear" w:color="auto" w:fill="E6F2EF"/>
          </w:tcPr>
          <w:p>
            <w:r/>
            <w:r>
              <w:rPr>
                <w:b/>
                <w:sz w:val="19"/>
              </w:rPr>
              <w:t>Con quién (rol)</w:t>
            </w:r>
          </w:p>
        </w:tc>
        <w:tc>
          <w:tcPr>
            <w:tcW w:type="dxa" w:w="6803"/>
          </w:tcPr>
          <w:p>
            <w:r/>
            <w:r>
              <w:rPr>
                <w:sz w:val="19"/>
              </w:rPr>
              <w:t>PENDIENTE · previsto: Secretaría de Gestión del Riesgo (funcionario del área de preparación)</w:t>
            </w:r>
          </w:p>
        </w:tc>
      </w:tr>
      <w:tr>
        <w:tc>
          <w:tcPr>
            <w:tcW w:type="dxa" w:w="2608"/>
            <w:shd w:val="clear" w:color="auto" w:fill="E6F2EF"/>
          </w:tcPr>
          <w:p>
            <w:r/>
            <w:r>
              <w:rPr>
                <w:b/>
                <w:sz w:val="19"/>
              </w:rPr>
              <w:t>Qué se mostró</w:t>
            </w:r>
          </w:p>
        </w:tc>
        <w:tc>
          <w:tcPr>
            <w:tcW w:type="dxa" w:w="6803"/>
          </w:tcPr>
          <w:p>
            <w:r/>
            <w:r>
              <w:rPr>
                <w:sz w:val="19"/>
              </w:rPr>
              <w:t>PENDIENTE</w:t>
            </w:r>
          </w:p>
        </w:tc>
      </w:tr>
      <w:tr>
        <w:tc>
          <w:tcPr>
            <w:tcW w:type="dxa" w:w="2608"/>
            <w:shd w:val="clear" w:color="auto" w:fill="E6F2EF"/>
          </w:tcPr>
          <w:p>
            <w:r/>
            <w:r>
              <w:rPr>
                <w:b/>
                <w:sz w:val="19"/>
              </w:rPr>
              <w:t>Qué funcionó</w:t>
            </w:r>
          </w:p>
        </w:tc>
        <w:tc>
          <w:tcPr>
            <w:tcW w:type="dxa" w:w="6803"/>
          </w:tcPr>
          <w:p>
            <w:r/>
            <w:r>
              <w:rPr>
                <w:sz w:val="19"/>
              </w:rPr>
              <w:t>PENDIENTE</w:t>
            </w:r>
          </w:p>
        </w:tc>
      </w:tr>
      <w:tr>
        <w:tc>
          <w:tcPr>
            <w:tcW w:type="dxa" w:w="2608"/>
            <w:shd w:val="clear" w:color="auto" w:fill="E6F2EF"/>
          </w:tcPr>
          <w:p>
            <w:r/>
            <w:r>
              <w:rPr>
                <w:b/>
                <w:sz w:val="19"/>
              </w:rPr>
              <w:t>Qué confundió o falló</w:t>
            </w:r>
          </w:p>
        </w:tc>
        <w:tc>
          <w:tcPr>
            <w:tcW w:type="dxa" w:w="6803"/>
          </w:tcPr>
          <w:p>
            <w:r/>
            <w:r>
              <w:rPr>
                <w:sz w:val="19"/>
              </w:rPr>
              <w:t>PENDIENTE</w:t>
            </w:r>
          </w:p>
        </w:tc>
      </w:tr>
      <w:tr>
        <w:tc>
          <w:tcPr>
            <w:tcW w:type="dxa" w:w="2608"/>
            <w:shd w:val="clear" w:color="auto" w:fill="E6F2EF"/>
          </w:tcPr>
          <w:p>
            <w:r/>
            <w:r>
              <w:rPr>
                <w:b/>
                <w:sz w:val="19"/>
              </w:rPr>
              <w:t>Qué se ajustó</w:t>
            </w:r>
          </w:p>
        </w:tc>
        <w:tc>
          <w:tcPr>
            <w:tcW w:type="dxa" w:w="6803"/>
          </w:tcPr>
          <w:p>
            <w:r/>
            <w:r>
              <w:rPr>
                <w:sz w:val="19"/>
              </w:rPr>
              <w:t>PENDIENTE</w:t>
            </w:r>
          </w:p>
        </w:tc>
      </w:tr>
    </w:tbl>
    <w:p/>
    <w:p>
      <w:pPr>
        <w:pStyle w:val="Heading2"/>
      </w:pPr>
      <w:r>
        <w:t>Ronda 2</w:t>
      </w:r>
    </w:p>
    <w:tbl>
      <w:tblPr>
        <w:tblStyle w:val="TableGrid"/>
        <w:tblW w:type="auto" w:w="0"/>
        <w:jc w:val="center"/>
        <w:tblLayout w:type="fixed"/>
        <w:tblLook w:firstColumn="1" w:firstRow="1" w:lastColumn="0" w:lastRow="0" w:noHBand="0" w:noVBand="1" w:val="04A0"/>
      </w:tblPr>
      <w:tblGrid>
        <w:gridCol w:w="2608"/>
        <w:gridCol w:w="6803"/>
      </w:tblGrid>
      <w:tr>
        <w:tc>
          <w:tcPr>
            <w:tcW w:type="dxa" w:w="2608"/>
            <w:shd w:val="clear" w:color="auto" w:fill="E6F2EF"/>
          </w:tcPr>
          <w:p>
            <w:r/>
            <w:r>
              <w:rPr>
                <w:b/>
                <w:sz w:val="19"/>
              </w:rPr>
              <w:t>Con quién (rol)</w:t>
            </w:r>
          </w:p>
        </w:tc>
        <w:tc>
          <w:tcPr>
            <w:tcW w:type="dxa" w:w="6803"/>
          </w:tcPr>
          <w:p>
            <w:r/>
            <w:r>
              <w:rPr>
                <w:sz w:val="19"/>
              </w:rPr>
              <w:t>PENDIENTE · previsto: Junta de acción comunal de Chiminangos o Calimio Norte</w:t>
            </w:r>
          </w:p>
        </w:tc>
      </w:tr>
      <w:tr>
        <w:tc>
          <w:tcPr>
            <w:tcW w:type="dxa" w:w="2608"/>
            <w:shd w:val="clear" w:color="auto" w:fill="E6F2EF"/>
          </w:tcPr>
          <w:p>
            <w:r/>
            <w:r>
              <w:rPr>
                <w:b/>
                <w:sz w:val="19"/>
              </w:rPr>
              <w:t>Qué se mostró</w:t>
            </w:r>
          </w:p>
        </w:tc>
        <w:tc>
          <w:tcPr>
            <w:tcW w:type="dxa" w:w="6803"/>
          </w:tcPr>
          <w:p>
            <w:r/>
            <w:r>
              <w:rPr>
                <w:sz w:val="19"/>
              </w:rPr>
              <w:t>PENDIENTE</w:t>
            </w:r>
          </w:p>
        </w:tc>
      </w:tr>
      <w:tr>
        <w:tc>
          <w:tcPr>
            <w:tcW w:type="dxa" w:w="2608"/>
            <w:shd w:val="clear" w:color="auto" w:fill="E6F2EF"/>
          </w:tcPr>
          <w:p>
            <w:r/>
            <w:r>
              <w:rPr>
                <w:b/>
                <w:sz w:val="19"/>
              </w:rPr>
              <w:t>Qué funcionó</w:t>
            </w:r>
          </w:p>
        </w:tc>
        <w:tc>
          <w:tcPr>
            <w:tcW w:type="dxa" w:w="6803"/>
          </w:tcPr>
          <w:p>
            <w:r/>
            <w:r>
              <w:rPr>
                <w:sz w:val="19"/>
              </w:rPr>
              <w:t>PENDIENTE</w:t>
            </w:r>
          </w:p>
        </w:tc>
      </w:tr>
      <w:tr>
        <w:tc>
          <w:tcPr>
            <w:tcW w:type="dxa" w:w="2608"/>
            <w:shd w:val="clear" w:color="auto" w:fill="E6F2EF"/>
          </w:tcPr>
          <w:p>
            <w:r/>
            <w:r>
              <w:rPr>
                <w:b/>
                <w:sz w:val="19"/>
              </w:rPr>
              <w:t>Qué confundió o falló</w:t>
            </w:r>
          </w:p>
        </w:tc>
        <w:tc>
          <w:tcPr>
            <w:tcW w:type="dxa" w:w="6803"/>
          </w:tcPr>
          <w:p>
            <w:r/>
            <w:r>
              <w:rPr>
                <w:sz w:val="19"/>
              </w:rPr>
              <w:t>PENDIENTE</w:t>
            </w:r>
          </w:p>
        </w:tc>
      </w:tr>
      <w:tr>
        <w:tc>
          <w:tcPr>
            <w:tcW w:type="dxa" w:w="2608"/>
            <w:shd w:val="clear" w:color="auto" w:fill="E6F2EF"/>
          </w:tcPr>
          <w:p>
            <w:r/>
            <w:r>
              <w:rPr>
                <w:b/>
                <w:sz w:val="19"/>
              </w:rPr>
              <w:t>Qué se ajustó</w:t>
            </w:r>
          </w:p>
        </w:tc>
        <w:tc>
          <w:tcPr>
            <w:tcW w:type="dxa" w:w="6803"/>
          </w:tcPr>
          <w:p>
            <w:r/>
            <w:r>
              <w:rPr>
                <w:sz w:val="19"/>
              </w:rPr>
              <w:t>PENDIENTE</w:t>
            </w:r>
          </w:p>
        </w:tc>
      </w:tr>
    </w:tbl>
    <w:p/>
    <w:p>
      <w:pPr>
        <w:pStyle w:val="Heading2"/>
      </w:pPr>
      <w:r>
        <w:t>Ronda 3</w:t>
      </w:r>
    </w:p>
    <w:tbl>
      <w:tblPr>
        <w:tblStyle w:val="TableGrid"/>
        <w:tblW w:type="auto" w:w="0"/>
        <w:jc w:val="center"/>
        <w:tblLayout w:type="fixed"/>
        <w:tblLook w:firstColumn="1" w:firstRow="1" w:lastColumn="0" w:lastRow="0" w:noHBand="0" w:noVBand="1" w:val="04A0"/>
      </w:tblPr>
      <w:tblGrid>
        <w:gridCol w:w="2608"/>
        <w:gridCol w:w="6803"/>
      </w:tblGrid>
      <w:tr>
        <w:tc>
          <w:tcPr>
            <w:tcW w:type="dxa" w:w="2608"/>
            <w:shd w:val="clear" w:color="auto" w:fill="E6F2EF"/>
          </w:tcPr>
          <w:p>
            <w:r/>
            <w:r>
              <w:rPr>
                <w:b/>
                <w:sz w:val="19"/>
              </w:rPr>
              <w:t>Con quién (rol)</w:t>
            </w:r>
          </w:p>
        </w:tc>
        <w:tc>
          <w:tcPr>
            <w:tcW w:type="dxa" w:w="6803"/>
          </w:tcPr>
          <w:p>
            <w:r/>
            <w:r>
              <w:rPr>
                <w:sz w:val="19"/>
              </w:rPr>
              <w:t>PENDIENTE · previsto: Mentor del hackathon u otro equipo</w:t>
            </w:r>
          </w:p>
        </w:tc>
      </w:tr>
      <w:tr>
        <w:tc>
          <w:tcPr>
            <w:tcW w:type="dxa" w:w="2608"/>
            <w:shd w:val="clear" w:color="auto" w:fill="E6F2EF"/>
          </w:tcPr>
          <w:p>
            <w:r/>
            <w:r>
              <w:rPr>
                <w:b/>
                <w:sz w:val="19"/>
              </w:rPr>
              <w:t>Qué se mostró</w:t>
            </w:r>
          </w:p>
        </w:tc>
        <w:tc>
          <w:tcPr>
            <w:tcW w:type="dxa" w:w="6803"/>
          </w:tcPr>
          <w:p>
            <w:r/>
            <w:r>
              <w:rPr>
                <w:sz w:val="19"/>
              </w:rPr>
              <w:t>PENDIENTE</w:t>
            </w:r>
          </w:p>
        </w:tc>
      </w:tr>
      <w:tr>
        <w:tc>
          <w:tcPr>
            <w:tcW w:type="dxa" w:w="2608"/>
            <w:shd w:val="clear" w:color="auto" w:fill="E6F2EF"/>
          </w:tcPr>
          <w:p>
            <w:r/>
            <w:r>
              <w:rPr>
                <w:b/>
                <w:sz w:val="19"/>
              </w:rPr>
              <w:t>Qué funcionó</w:t>
            </w:r>
          </w:p>
        </w:tc>
        <w:tc>
          <w:tcPr>
            <w:tcW w:type="dxa" w:w="6803"/>
          </w:tcPr>
          <w:p>
            <w:r/>
            <w:r>
              <w:rPr>
                <w:sz w:val="19"/>
              </w:rPr>
              <w:t>PENDIENTE</w:t>
            </w:r>
          </w:p>
        </w:tc>
      </w:tr>
      <w:tr>
        <w:tc>
          <w:tcPr>
            <w:tcW w:type="dxa" w:w="2608"/>
            <w:shd w:val="clear" w:color="auto" w:fill="E6F2EF"/>
          </w:tcPr>
          <w:p>
            <w:r/>
            <w:r>
              <w:rPr>
                <w:b/>
                <w:sz w:val="19"/>
              </w:rPr>
              <w:t>Qué confundió o falló</w:t>
            </w:r>
          </w:p>
        </w:tc>
        <w:tc>
          <w:tcPr>
            <w:tcW w:type="dxa" w:w="6803"/>
          </w:tcPr>
          <w:p>
            <w:r/>
            <w:r>
              <w:rPr>
                <w:sz w:val="19"/>
              </w:rPr>
              <w:t>PENDIENTE</w:t>
            </w:r>
          </w:p>
        </w:tc>
      </w:tr>
      <w:tr>
        <w:tc>
          <w:tcPr>
            <w:tcW w:type="dxa" w:w="2608"/>
            <w:shd w:val="clear" w:color="auto" w:fill="E6F2EF"/>
          </w:tcPr>
          <w:p>
            <w:r/>
            <w:r>
              <w:rPr>
                <w:b/>
                <w:sz w:val="19"/>
              </w:rPr>
              <w:t>Qué se ajustó</w:t>
            </w:r>
          </w:p>
        </w:tc>
        <w:tc>
          <w:tcPr>
            <w:tcW w:type="dxa" w:w="6803"/>
          </w:tcPr>
          <w:p>
            <w:r/>
            <w:r>
              <w:rPr>
                <w:sz w:val="19"/>
              </w:rPr>
              <w:t>PENDIENTE</w:t>
            </w:r>
          </w:p>
        </w:tc>
      </w:tr>
    </w:tbl>
    <w:p/>
    <w:p>
      <w:pPr>
        <w:pStyle w:val="Heading1"/>
      </w:pPr>
      <w:r>
        <w:t>5. Ajustes hechos durante el proceso</w:t>
      </w:r>
    </w:p>
    <w:tbl>
      <w:tblPr>
        <w:tblStyle w:val="TableGrid"/>
        <w:tblW w:type="auto" w:w="0"/>
        <w:jc w:val="center"/>
        <w:tblLayout w:type="fixed"/>
        <w:tblLook w:firstColumn="1" w:firstRow="1" w:lastColumn="0" w:lastRow="0" w:noHBand="0" w:noVBand="1" w:val="04A0"/>
      </w:tblPr>
      <w:tblGrid>
        <w:gridCol w:w="4535"/>
        <w:gridCol w:w="4876"/>
      </w:tblGrid>
      <w:tr>
        <w:tc>
          <w:tcPr>
            <w:tcW w:type="dxa" w:w="4535"/>
            <w:shd w:val="clear" w:color="auto" w:fill="00614F"/>
          </w:tcPr>
          <w:p>
            <w:r/>
            <w:r>
              <w:rPr>
                <w:b/>
                <w:color w:val="FFFFFF"/>
                <w:sz w:val="19"/>
              </w:rPr>
              <w:t>Qué detectamos</w:t>
            </w:r>
          </w:p>
        </w:tc>
        <w:tc>
          <w:tcPr>
            <w:tcW w:type="dxa" w:w="4876"/>
            <w:shd w:val="clear" w:color="auto" w:fill="00614F"/>
          </w:tcPr>
          <w:p>
            <w:r/>
            <w:r>
              <w:rPr>
                <w:b/>
                <w:color w:val="FFFFFF"/>
                <w:sz w:val="19"/>
              </w:rPr>
              <w:t>Qué ajustamos</w:t>
            </w:r>
          </w:p>
        </w:tc>
      </w:tr>
      <w:tr>
        <w:tc>
          <w:tcPr>
            <w:tcW w:type="dxa" w:w="4535"/>
          </w:tcPr>
          <w:p>
            <w:r/>
            <w:r>
              <w:rPr>
                <w:sz w:val="19"/>
              </w:rPr>
              <w:t>«Peritaje» suena a dictamen técnico y cruza la línea roja de la NSR-10.</w:t>
            </w:r>
          </w:p>
        </w:tc>
        <w:tc>
          <w:tcPr>
            <w:tcW w:type="dxa" w:w="4876"/>
          </w:tcPr>
          <w:p>
            <w:r/>
            <w:r>
              <w:rPr>
                <w:sz w:val="19"/>
              </w:rPr>
              <w:t>Se habla de «caracterización» o «verificación de aptitud».</w:t>
            </w:r>
          </w:p>
        </w:tc>
      </w:tr>
      <w:tr>
        <w:tc>
          <w:tcPr>
            <w:tcW w:type="dxa" w:w="4535"/>
          </w:tcPr>
          <w:p>
            <w:r/>
            <w:r>
              <w:rPr>
                <w:sz w:val="19"/>
              </w:rPr>
              <w:t>Un parque en el mapa no es un lugar disponible.</w:t>
            </w:r>
          </w:p>
        </w:tc>
        <w:tc>
          <w:tcPr>
            <w:tcW w:type="dxa" w:w="4876"/>
          </w:tcPr>
          <w:p>
            <w:r/>
            <w:r>
              <w:rPr>
                <w:sz w:val="19"/>
              </w:rPr>
              <w:t>Todos los registros quedan «por confirmar»; un cruce sin amenaza no implica seguridad.</w:t>
            </w:r>
          </w:p>
        </w:tc>
      </w:tr>
      <w:tr>
        <w:tc>
          <w:tcPr>
            <w:tcW w:type="dxa" w:w="4535"/>
          </w:tcPr>
          <w:p>
            <w:r/>
            <w:r>
              <w:rPr>
                <w:sz w:val="19"/>
              </w:rPr>
              <w:t>Proponer más módulos de los que caben sobreocupa el espacio.</w:t>
            </w:r>
          </w:p>
        </w:tc>
        <w:tc>
          <w:tcPr>
            <w:tcW w:type="dxa" w:w="4876"/>
          </w:tcPr>
          <w:p>
            <w:r/>
            <w:r>
              <w:rPr>
                <w:sz w:val="19"/>
              </w:rPr>
              <w:t>Balance de superficie con reservas explícitas y bloqueo por exceso (20 → 16).</w:t>
            </w:r>
          </w:p>
        </w:tc>
      </w:tr>
      <w:tr>
        <w:tc>
          <w:tcPr>
            <w:tcW w:type="dxa" w:w="4535"/>
          </w:tcPr>
          <w:p>
            <w:r/>
            <w:r>
              <w:rPr>
                <w:sz w:val="19"/>
              </w:rPr>
              <w:t>Una brecha desconocida mostrada como cero engaña.</w:t>
            </w:r>
          </w:p>
        </w:tc>
        <w:tc>
          <w:tcPr>
            <w:tcW w:type="dxa" w:w="4876"/>
          </w:tcPr>
          <w:p>
            <w:r/>
            <w:r>
              <w:rPr>
                <w:sz w:val="19"/>
              </w:rPr>
              <w:t>La brecha queda «no calculable» hasta tener la existencia real.</w:t>
            </w:r>
          </w:p>
        </w:tc>
      </w:tr>
      <w:tr>
        <w:tc>
          <w:tcPr>
            <w:tcW w:type="dxa" w:w="4535"/>
          </w:tcPr>
          <w:p>
            <w:r/>
            <w:r>
              <w:rPr>
                <w:sz w:val="19"/>
              </w:rPr>
              <w:t>Para incendios no hay capa verificada.</w:t>
            </w:r>
          </w:p>
        </w:tc>
        <w:tc>
          <w:tcPr>
            <w:tcW w:type="dxa" w:w="4876"/>
          </w:tcPr>
          <w:p>
            <w:r/>
            <w:r>
              <w:rPr>
                <w:sz w:val="19"/>
              </w:rPr>
              <w:t>Los escenarios de incendio no preseleccionan candidatos sin evidencia.</w:t>
            </w:r>
          </w:p>
        </w:tc>
      </w:tr>
      <w:tr>
        <w:tc>
          <w:tcPr>
            <w:tcW w:type="dxa" w:w="4535"/>
          </w:tcPr>
          <w:p>
            <w:r/>
            <w:r>
              <w:rPr>
                <w:sz w:val="19"/>
              </w:rPr>
              <w:t>Avisar sobre un punto no confirmado puede mover a la gente a un lugar inadecuado.</w:t>
            </w:r>
          </w:p>
        </w:tc>
        <w:tc>
          <w:tcPr>
            <w:tcW w:type="dxa" w:w="4876"/>
          </w:tcPr>
          <w:p>
            <w:r/>
            <w:r>
              <w:rPr>
                <w:sz w:val="19"/>
              </w:rPr>
              <w:t>El aviso indica «no acudir todavía» hasta que la autoridad confirme la apertura.</w:t>
            </w:r>
          </w:p>
        </w:tc>
      </w:tr>
      <w:tr>
        <w:tc>
          <w:tcPr>
            <w:tcW w:type="dxa" w:w="4535"/>
          </w:tcPr>
          <w:p>
            <w:r/>
            <w:r>
              <w:rPr>
                <w:sz w:val="19"/>
              </w:rPr>
              <w:t>El botón Revisar no llevaba a la ficha seleccionada.</w:t>
            </w:r>
          </w:p>
        </w:tc>
        <w:tc>
          <w:tcPr>
            <w:tcW w:type="dxa" w:w="4876"/>
          </w:tcPr>
          <w:p>
            <w:r/>
            <w:r>
              <w:rPr>
                <w:sz w:val="19"/>
              </w:rPr>
              <w:t>Se corrigió la selección, el desplazamiento y el foco, también con teclado.</w:t>
            </w:r>
          </w:p>
        </w:tc>
      </w:tr>
      <w:tr>
        <w:tc>
          <w:tcPr>
            <w:tcW w:type="dxa" w:w="4535"/>
          </w:tcPr>
          <w:p>
            <w:r/>
            <w:r>
              <w:rPr>
                <w:sz w:val="19"/>
              </w:rPr>
              <w:t>El nombre del reto se confundía con el del producto.</w:t>
            </w:r>
          </w:p>
        </w:tc>
        <w:tc>
          <w:tcPr>
            <w:tcW w:type="dxa" w:w="4876"/>
          </w:tcPr>
          <w:p>
            <w:r/>
            <w:r>
              <w:rPr>
                <w:sz w:val="19"/>
              </w:rPr>
              <w:t>Producto: Territorio Preparado; reto: Cali Activa.</w:t>
            </w:r>
          </w:p>
        </w:tc>
      </w:tr>
    </w:tbl>
    <w:p/>
    <w:p>
      <w:pPr>
        <w:pStyle w:val="Heading1"/>
      </w:pPr>
      <w:r>
        <w:t>6. Aprendizajes clave</w:t>
      </w:r>
    </w:p>
    <w:p>
      <w:pPr/>
      <w:r>
        <w:rPr>
          <w:b/>
        </w:rPr>
        <w:t xml:space="preserve">1. </w:t>
      </w:r>
      <w:r>
        <w:t>Un espacio no es «apto» en general: su aptitud depende de la amenaza, y un buen refugio para el sismo puede estar en zona inundable.</w:t>
      </w:r>
    </w:p>
    <w:p>
      <w:pPr/>
      <w:r>
        <w:rPr>
          <w:b/>
        </w:rPr>
        <w:t xml:space="preserve">2. </w:t>
      </w:r>
      <w:r>
        <w:t>Un dato desconocido no vale cero: el sistema debe mostrar lo que falta medir en vez de inventar capacidad.</w:t>
      </w:r>
    </w:p>
    <w:p>
      <w:pPr/>
      <w:r>
        <w:rPr>
          <w:b/>
        </w:rPr>
        <w:t xml:space="preserve">3. </w:t>
      </w:r>
      <w:r>
        <w:t>Proponer no es habilitar: la comunidad solo debe recibir avisos de puntos que la autoridad ya confirmó.</w:t>
      </w:r>
    </w:p>
    <w:p>
      <w:pPr>
        <w:pStyle w:val="Heading1"/>
      </w:pPr>
      <w:r>
        <w:t>7. Siguiente paso</w:t>
      </w:r>
    </w:p>
    <w:p>
      <w:r>
        <w:t>Validar el flujo con la Secretaría de Gestión del Riesgo y una JAC del oriente; medir en campo la superficie útil y los servicios de los espacios priorizados; integrar el peritaje del entorno del módulo preventivo (puntaje 60/40) y un canal de avisos real y autorizado.</w:t>
      </w:r>
    </w:p>
    <w:p>
      <w:r>
        <w:rPr>
          <w:b/>
        </w:rPr>
        <w:t xml:space="preserve">Qué haríamos diferente: </w:t>
      </w:r>
      <w:r>
        <w:t>Con una semana más haríamos las tres rondas de prueba con usuarios y mediríamos cuánto tarda la Secretaría en generar una propuesta de activación con y sin la herramienta.</w:t>
      </w:r>
    </w:p>
    <w:p>
      <w:pPr>
        <w:pStyle w:val="Heading1"/>
      </w:pPr>
      <w:r>
        <w:t>Líneas rojas que respeta este entregable</w:t>
      </w:r>
    </w:p>
    <w:p>
      <w:pPr>
        <w:pStyle w:val="ListBullet"/>
      </w:pPr>
      <w:r>
        <w:t>La herramienta propone y la autoridad decide: la activación de un espacio la decide la Secretaría de Gestión del Riesgo o el Consejo Municipal de Gestión del Riesgo (Ley 1523 de 2012, Decreto 2157 de 2017).</w:t>
      </w:r>
    </w:p>
    <w:p>
      <w:pPr>
        <w:pStyle w:val="ListBullet"/>
      </w:pPr>
      <w:r>
        <w:t>No reemplaza evaluaciones estructurales (Ley 400 de 1997, NSR-10): solo registra si existe una evaluación vigente.</w:t>
      </w:r>
    </w:p>
    <w:p>
      <w:pPr>
        <w:pStyle w:val="ListBullet"/>
      </w:pPr>
      <w:r>
        <w:t>No invade las competencias de Bomberos (Ley 1575 de 2012) ni emite conceptos de seguridad humana o contra incendios.</w:t>
      </w:r>
    </w:p>
    <w:p>
      <w:pPr>
        <w:pStyle w:val="ListBullet"/>
      </w:pPr>
      <w:r>
        <w:t>Datos mínimos (Ley 1581 de 2012): solo conteos agregados, sin nombres ni documentos y sin datos de menores (Ley 1098 de 2006).</w:t>
      </w:r>
    </w:p>
    <w:p>
      <w:pPr>
        <w:pStyle w:val="ListBullet"/>
      </w:pPr>
      <w:r>
        <w:t>Sin reconocimiento facial ni identificación individual.</w:t>
      </w:r>
    </w:p>
    <w:p>
      <w:pPr>
        <w:pStyle w:val="ListBullet"/>
      </w:pPr>
      <w:r>
        <w:t>Criterios explicables: cada propuesta muestra las variables y reglas que usó.</w:t>
      </w:r>
    </w:p>
    <w:p>
      <w:pPr>
        <w:pStyle w:val="Heading1"/>
      </w:pPr>
      <w:r>
        <w:t>Fuentes</w:t>
      </w:r>
    </w:p>
    <w:p>
      <w:pPr>
        <w:pStyle w:val="ListBullet"/>
      </w:pPr>
      <w:r>
        <w:rPr>
          <w:b/>
        </w:rPr>
        <w:t xml:space="preserve">Defensoría del Pueblo: 336 familias en albergues de Cali: </w:t>
      </w:r>
      <w:r>
        <w:t>https://www.defensoria.gov.co/web/guest/-/defensoria-pide-atencion-urgente-para-336-familias-en-albergues-de-cali</w:t>
      </w:r>
    </w:p>
    <w:p>
      <w:pPr>
        <w:pStyle w:val="ListBullet"/>
      </w:pPr>
      <w:r>
        <w:rPr>
          <w:b/>
        </w:rPr>
        <w:t xml:space="preserve">Infobae/OCHA: vacíos de información (25 de septiembre de 2026): </w:t>
      </w:r>
      <w:r>
        <w:t>https://www.infobae.com/colombia/2026/09/25/ocha-alerta-vacios-de-informacion-y-atencion-tras-terremoto-que-deja-486917-afectados-en-colombia/</w:t>
      </w:r>
    </w:p>
    <w:p>
      <w:pPr>
        <w:pStyle w:val="ListBullet"/>
      </w:pPr>
      <w:r>
        <w:rPr>
          <w:b/>
        </w:rPr>
        <w:t xml:space="preserve">Semana: escenarios deportivos al 31 de agosto: </w:t>
      </w:r>
      <w:r>
        <w:t>https://www.semana.com/nacion/cali/articulo/tras-el-terremoto-cali-informa-cuales-escenarios-deportivos-vuelven-a-estar-al-servicio-de-los-atletas-desde-este-31-de-agosto/202628/</w:t>
      </w:r>
    </w:p>
    <w:p>
      <w:pPr>
        <w:pStyle w:val="ListBullet"/>
      </w:pPr>
      <w:r>
        <w:rPr>
          <w:b/>
        </w:rPr>
        <w:t xml:space="preserve">DAPM/IDESC: espacio público efectivo (datos abiertos de Cali): </w:t>
      </w:r>
      <w:r>
        <w:t>https://datos.cali.gov.co/dataset/epou-espacio-publico-efectivo</w:t>
      </w:r>
    </w:p>
    <w:p>
      <w:pPr>
        <w:pStyle w:val="ListBullet"/>
      </w:pPr>
      <w:r>
        <w:rPr>
          <w:b/>
        </w:rPr>
        <w:t xml:space="preserve">Código y bitácora: </w:t>
      </w:r>
      <w:r>
        <w:t>https://github.com/leonidas452528/hackaton-camaracomercio2026</w:t>
      </w:r>
    </w:p>
    <w:p>
      <w:r>
        <w:t>Bitácora completa con todas las fuentes: https://github.com/leonidas452528/hackaton-camaracomercio2026/blob/main/docs/PROYECTO.md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6"/>
        <w:sz w:val="17"/>
      </w:rPr>
      <w:t>Territorio Preparado · Entregable 6 · Bitácora de validación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003D4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003D4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003D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