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614F"/>
          <w:sz w:val="20"/>
        </w:rPr>
        <w:t>Hackathon Smart City Expo Cali 2026 · RETO-01 Cali Activa</w:t>
      </w:r>
    </w:p>
    <w:p>
      <w:r>
        <w:rPr>
          <w:b/>
          <w:color w:val="003D4A"/>
          <w:sz w:val="44"/>
        </w:rPr>
        <w:t>Entregable 4 · Viabilidad GovTech</w:t>
      </w:r>
    </w:p>
    <w:p>
      <w:r>
        <w:rPr>
          <w:i/>
          <w:sz w:val="25"/>
        </w:rPr>
        <w:t>Territorio Preparado: espacios y ayudas coordinados ante emergencias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6803"/>
      </w:tblGrid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Equipo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William Ortiz · Herlin Echeverry · Pablo Arango · Bryan Martínez Villamarín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Reto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RETO-01 Cali Activa: espacios públicos que se transforman para cuidar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Owner del reto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Secretaría de Gestión del Riesgo de Emergencias y Desastres · líder técnico: DATIC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Fase del proceso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Sprint de validación · Artefacto 4: nivel TRL/IRL y plan (25 de septiembre)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Criterio de evaluación que evidencia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Viabilidad técnica y operativa del concepto (10 %)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Fecha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Sábado 26 de septiembre de 2026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Prototipo público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https://leonidas452528.github.io/hackaton-camaracomercio2026/</w:t>
            </w:r>
          </w:p>
        </w:tc>
      </w:tr>
    </w:tbl>
    <w:p/>
    <w:p>
      <w:pPr>
        <w:pStyle w:val="Heading1"/>
      </w:pPr>
      <w:r>
        <w:t>1. Encaje institucional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948"/>
        <w:gridCol w:w="4762"/>
      </w:tblGrid>
      <w:tr>
        <w:tc>
          <w:tcPr>
            <w:tcW w:type="dxa" w:w="1701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2948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Entidad</w:t>
            </w:r>
          </w:p>
        </w:tc>
        <w:tc>
          <w:tcPr>
            <w:tcW w:type="dxa" w:w="4762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Qué hace con Territorio Preparado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Dueño funcional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Secretaría de Gestión del Riesgo de Emergencias y Desastres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Prepara escenarios, revisa las propuestas y decide la activación junto con el Consejo Municipal de Gestión del Riesgo.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Líder técnico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DATIC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Aloja la herramienta, integra los datos abiertos y administra accesos.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Fuente de datos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DAPM/IDESC y Secretaría del Deporte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Mantienen el inventario del espacio público y los escenarios.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Servicios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EMCALI, UAESP, Salud, ICBF, Bienestar Social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Reciben las brechas que les corresponden y reportan su estado.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Comunidad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Juntas de acción comunal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Reportan conteos agregados de albergues propios y reciben avisos confirmados.</w:t>
            </w:r>
          </w:p>
        </w:tc>
      </w:tr>
    </w:tbl>
    <w:p/>
    <w:p>
      <w:pPr>
        <w:pStyle w:val="Heading1"/>
      </w:pPr>
      <w:r>
        <w:t>2. Encaje normativo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009"/>
      </w:tblGrid>
      <w:tr>
        <w:tc>
          <w:tcPr>
            <w:tcW w:type="dxa" w:w="3402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Norma</w:t>
            </w:r>
          </w:p>
        </w:tc>
        <w:tc>
          <w:tcPr>
            <w:tcW w:type="dxa" w:w="6009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Cómo la cumple la solución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Ley 1523 de 2012 y Decreto 2157 de 2017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La herramienta recomienda; la activación la decide la autoridad competente.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Ley 1712 de 2014 (transparencia)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Usa datos abiertos y criterios que se pueden publicar.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Ley 1581 de 2012 y Ley 1098 de 2006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Solo conteos agregados; ningún dato personal ni de menores.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Decreto 767 de 2022 (Gobierno Digital)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Solución web, interoperable, con seguridad y privacidad desde el diseño.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Resolución MinTIC 1519 de 2020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Contraste, lenguaje claro y controles accesibles.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Ley 400 de 1997, NSR-10 y Ley 1575 de 2012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No reemplaza evaluaciones estructurales ni conceptos de Bomberos.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Circular SIC 002 de 2024 y CONPES 4144 de 2025 (verificar)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Reglas explicables y decisión final humana.</w:t>
            </w:r>
          </w:p>
        </w:tc>
      </w:tr>
    </w:tbl>
    <w:p/>
    <w:p>
      <w:pPr>
        <w:pStyle w:val="Heading1"/>
      </w:pPr>
      <w:r>
        <w:t>3. Viabilidad técnica</w:t>
      </w:r>
    </w:p>
    <w:p>
      <w:pPr>
        <w:pStyle w:val="ListBullet"/>
      </w:pPr>
      <w:r>
        <w:rPr>
          <w:b/>
        </w:rPr>
        <w:t xml:space="preserve">Ya funciona: </w:t>
      </w:r>
      <w:r>
        <w:t>aplicación web pública en https://leonidas452528.github.io/hackaton-camaracomercio2026/ con datos reales de Cali.</w:t>
      </w:r>
    </w:p>
    <w:p>
      <w:pPr>
        <w:pStyle w:val="ListBullet"/>
      </w:pPr>
      <w:r>
        <w:rPr>
          <w:b/>
        </w:rPr>
        <w:t xml:space="preserve">Código abierto y reproducible: </w:t>
      </w:r>
      <w:r>
        <w:t>los datos se regeneran desde las fuentes originales con un comando; cada fuente guarda su URL, licencia y huella SHA-256.</w:t>
      </w:r>
    </w:p>
    <w:p>
      <w:pPr>
        <w:pStyle w:val="ListBullet"/>
      </w:pPr>
      <w:r>
        <w:rPr>
          <w:b/>
        </w:rPr>
        <w:t xml:space="preserve">Calidad comprobada: </w:t>
      </w:r>
      <w:r>
        <w:t>compilación con TypeScript estricto y 22 pruebas automáticas que se ejecutan antes de cada publicación.</w:t>
      </w:r>
    </w:p>
    <w:p>
      <w:pPr>
        <w:pStyle w:val="ListBullet"/>
      </w:pPr>
      <w:r>
        <w:rPr>
          <w:b/>
        </w:rPr>
        <w:t xml:space="preserve">Sin dependencias costosas: </w:t>
      </w:r>
      <w:r>
        <w:t>mapa libre (OpenStreetMap), sin claves de API; sitio estático sin servidor ni base de datos personal.</w:t>
      </w:r>
    </w:p>
    <w:p>
      <w:pPr>
        <w:pStyle w:val="ListBullet"/>
      </w:pPr>
      <w:r>
        <w:rPr>
          <w:b/>
        </w:rPr>
        <w:t xml:space="preserve">Portable: </w:t>
      </w:r>
      <w:r>
        <w:t>puede alojarse en la infraestructura de DATIC o migrar a una base compartida (hoja de cálculo o base de datos) sin cambiar las reglas.</w:t>
      </w:r>
    </w:p>
    <w:p>
      <w:pPr>
        <w:pStyle w:val="Heading1"/>
      </w:pPr>
      <w:r>
        <w:t>4. Viabilidad operativa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721"/>
        <w:gridCol w:w="4762"/>
      </w:tblGrid>
      <w:tr>
        <w:tc>
          <w:tcPr>
            <w:tcW w:type="dxa" w:w="1928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2721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Quién</w:t>
            </w:r>
          </w:p>
        </w:tc>
        <w:tc>
          <w:tcPr>
            <w:tcW w:type="dxa" w:w="4762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Qué hace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Antes (preparación)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DAPM, Deporte, Gestión del Riesgo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Caracterizan los espacios priorizados y cargan superficie útil, accesos y servicios.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Alerta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Gestión del Riesgo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Define la amenaza y el escenario; obtiene candidatos y necesidades.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Decisión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Secretaría o Consejo Municipal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Revisa el borrador y decide qué se activa.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Operación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Entidades de servicios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Atienden las brechas asignadas y reportan su estado.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Aviso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Autoridad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Comunica solo los puntos confirmados por el canal oficial.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Retorno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Gestión del Riesgo y administrador del espacio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Checklist, retiro de equipos y acta de entrega.</w:t>
            </w:r>
          </w:p>
        </w:tc>
      </w:tr>
    </w:tbl>
    <w:p/>
    <w:p>
      <w:pPr>
        <w:pStyle w:val="Heading1"/>
      </w:pPr>
      <w:r>
        <w:t>5. Costos: rubros identificados</w:t>
      </w:r>
    </w:p>
    <w:p>
      <w:r>
        <w:t>No presentamos cifras de costos porque todavía no tenemos cotizaciones ni datos con fuente. Estos son los rubros que hay que estimar con la Alcaldía: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102"/>
        <w:gridCol w:w="2041"/>
      </w:tblGrid>
      <w:tr>
        <w:tc>
          <w:tcPr>
            <w:tcW w:type="dxa" w:w="2268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Rubro</w:t>
            </w:r>
          </w:p>
        </w:tc>
        <w:tc>
          <w:tcPr>
            <w:tcW w:type="dxa" w:w="5102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Qué incluye</w:t>
            </w:r>
          </w:p>
        </w:tc>
        <w:tc>
          <w:tcPr>
            <w:tcW w:type="dxa" w:w="2041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Desarrollo y adaptación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Cuentas por entidad, base compartida, acta de retorno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Por estimar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Caracterización en campo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Medición de superficie útil, accesos y servicios de los espacios priorizados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Por estimar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Alojamiento y mantenimiento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Infraestructura de DATIC; hoy el sitio estático no tiene costo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Por estimar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Canal de avisos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Proveedor de mensajería autorizado y su cobertura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Por estimar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Kit modular (opcional)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Módulos, cisternas y energía solar; compra previa por contratación ordinaria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Por estimar</w:t>
            </w:r>
          </w:p>
        </w:tc>
      </w:tr>
    </w:tbl>
    <w:p/>
    <w:p>
      <w:pPr>
        <w:pStyle w:val="Heading1"/>
      </w:pPr>
      <w:r>
        <w:t>6. Riesgos y cómo los mitigamos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009"/>
      </w:tblGrid>
      <w:tr>
        <w:tc>
          <w:tcPr>
            <w:tcW w:type="dxa" w:w="3402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type="dxa" w:w="6009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Mitigación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Que la herramienta se use como si decidiera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Lenguaje de «candidatos», decisión explícita de la autoridad y borrador sin valor de acto administrativo.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Inventario desactualizado o sin capacidades reales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Disponibilidad «por confirmar» por defecto; caracterización en campo antes de operar.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Tratamiento de datos personales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Diseño sin datos personales: solo conteos agregados.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Resistencia de las entidades a la matriz de responsables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Validar la matriz con cada entidad antes del piloto, basada en el Protocolo de la UNGRD.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Falta de conectividad en la emergencia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Sitio ligero, geometrías locales y borrador descargable para trabajar sin conexión.</w:t>
            </w:r>
          </w:p>
        </w:tc>
      </w:tr>
    </w:tbl>
    <w:p/>
    <w:p>
      <w:pPr>
        <w:pStyle w:val="Heading1"/>
      </w:pPr>
      <w:r>
        <w:t>7. Ruta de adopción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195"/>
        <w:gridCol w:w="3628"/>
      </w:tblGrid>
      <w:tr>
        <w:tc>
          <w:tcPr>
            <w:tcW w:type="dxa" w:w="1587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4195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Alcance</w:t>
            </w:r>
          </w:p>
        </w:tc>
        <w:tc>
          <w:tcPr>
            <w:tcW w:type="dxa" w:w="3628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Resultado esperado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0 · Hoy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Prototipo con datos abiertos y escenarios SIMULADOS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TRL 3 como meta: la lógica se demuestra en entorno controlado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1 · Validación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Sesiones con la Secretaría de Gestión del Riesgo y una JAC de Chiminangos o Calimio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IRL 3 como meta: flujo de coordinación validado con actores reales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2 · Piloto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Espacios priorizados de las comunas del Jarillón (6, 7, 13, 14 y 21), antes de la temporada de lluvias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Espacios caracterizados en campo y matriz de responsables acordada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3 · Escalamiento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Las 22 comunas de Cali, con el módulo preventivo y el acta de retorno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Red de espacios preparados por amenaza</w:t>
            </w:r>
          </w:p>
        </w:tc>
      </w:tr>
    </w:tbl>
    <w:p/>
    <w:p>
      <w:r>
        <w:rPr>
          <w:b/>
        </w:rPr>
        <w:t xml:space="preserve">Aclaración: </w:t>
      </w:r>
      <w:r>
        <w:t>TRL 3 e IRL 3 son metas del hackathon, no certificaciones obtenidas.</w:t>
      </w:r>
    </w:p>
    <w:p>
      <w:pPr>
        <w:pStyle w:val="Heading1"/>
      </w:pPr>
      <w:r>
        <w:t>Líneas rojas que respeta este entregable</w:t>
      </w:r>
    </w:p>
    <w:p>
      <w:pPr>
        <w:pStyle w:val="ListBullet"/>
      </w:pPr>
      <w:r>
        <w:t>La herramienta propone y la autoridad decide: la activación de un espacio la decide la Secretaría de Gestión del Riesgo o el Consejo Municipal de Gestión del Riesgo (Ley 1523 de 2012, Decreto 2157 de 2017).</w:t>
      </w:r>
    </w:p>
    <w:p>
      <w:pPr>
        <w:pStyle w:val="ListBullet"/>
      </w:pPr>
      <w:r>
        <w:t>No reemplaza evaluaciones estructurales (Ley 400 de 1997, NSR-10): solo registra si existe una evaluación vigente.</w:t>
      </w:r>
    </w:p>
    <w:p>
      <w:pPr>
        <w:pStyle w:val="ListBullet"/>
      </w:pPr>
      <w:r>
        <w:t>No invade las competencias de Bomberos (Ley 1575 de 2012) ni emite conceptos de seguridad humana o contra incendios.</w:t>
      </w:r>
    </w:p>
    <w:p>
      <w:pPr>
        <w:pStyle w:val="ListBullet"/>
      </w:pPr>
      <w:r>
        <w:t>Datos mínimos (Ley 1581 de 2012): solo conteos agregados, sin nombres ni documentos y sin datos de menores (Ley 1098 de 2006).</w:t>
      </w:r>
    </w:p>
    <w:p>
      <w:pPr>
        <w:pStyle w:val="ListBullet"/>
      </w:pPr>
      <w:r>
        <w:t>Sin reconocimiento facial ni identificación individual.</w:t>
      </w:r>
    </w:p>
    <w:p>
      <w:pPr>
        <w:pStyle w:val="ListBullet"/>
      </w:pPr>
      <w:r>
        <w:t>Criterios explicables: cada propuesta muestra las variables y reglas que usó.</w:t>
      </w:r>
    </w:p>
    <w:p>
      <w:pPr>
        <w:pStyle w:val="Heading1"/>
      </w:pPr>
      <w:r>
        <w:t>Fuentes</w:t>
      </w:r>
    </w:p>
    <w:p>
      <w:pPr>
        <w:pStyle w:val="ListBullet"/>
      </w:pPr>
      <w:r>
        <w:rPr>
          <w:b/>
        </w:rPr>
        <w:t xml:space="preserve">DAPM/IDESC: espacio público efectivo (datos abiertos de Cali): </w:t>
      </w:r>
      <w:r>
        <w:t>https://datos.cali.gov.co/dataset/epou-espacio-publico-efectivo</w:t>
      </w:r>
    </w:p>
    <w:p>
      <w:pPr>
        <w:pStyle w:val="ListBullet"/>
      </w:pPr>
      <w:r>
        <w:rPr>
          <w:b/>
        </w:rPr>
        <w:t xml:space="preserve">Manual Esfera 2018: </w:t>
      </w:r>
      <w:r>
        <w:t>https://spherestandards.org/wp-content/uploads/Sphere-Handbook-2018-EN.pdf</w:t>
      </w:r>
    </w:p>
    <w:p>
      <w:pPr>
        <w:pStyle w:val="ListBullet"/>
      </w:pPr>
      <w:r>
        <w:rPr>
          <w:b/>
        </w:rPr>
        <w:t xml:space="preserve">OpenStreetMap: derechos de autor y atribución: </w:t>
      </w:r>
      <w:r>
        <w:t>https://www.openstreetmap.org/copyright</w:t>
      </w:r>
    </w:p>
    <w:p>
      <w:pPr>
        <w:pStyle w:val="ListBullet"/>
      </w:pPr>
      <w:r>
        <w:rPr>
          <w:b/>
        </w:rPr>
        <w:t xml:space="preserve">Código del prototipo: </w:t>
      </w:r>
      <w:r>
        <w:t>https://github.com/leonidas452528/hackaton-camaracomercio2026</w:t>
      </w:r>
    </w:p>
    <w:p>
      <w:r>
        <w:t>Bitácora completa con todas las fuentes: https://github.com/leonidas452528/hackaton-camaracomercio2026/blob/main/docs/PROYECTO.md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6"/>
        <w:sz w:val="17"/>
      </w:rPr>
      <w:t>Territorio Preparado · Entregable 4 · Viabilidad GovTech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3D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3D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3D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