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ArchMood interior concept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Site size:</w:t>
      </w:r>
      <w:r w:rsidDel="00000000" w:rsidR="00000000" w:rsidRPr="00000000">
        <w:rPr>
          <w:rtl w:val="0"/>
        </w:rPr>
        <w:t xml:space="preserve"> 12 sqm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Skopje, N.Macedonia</w:t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Year:</w:t>
      </w:r>
      <w:r w:rsidDel="00000000" w:rsidR="00000000" w:rsidRPr="00000000">
        <w:rPr>
          <w:rtl w:val="0"/>
        </w:rPr>
        <w:t xml:space="preserve"> 2025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Category</w:t>
      </w:r>
      <w:r w:rsidDel="00000000" w:rsidR="00000000" w:rsidRPr="00000000">
        <w:rPr>
          <w:rtl w:val="0"/>
        </w:rPr>
        <w:t xml:space="preserve">: Residential</w:t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Project description: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compact room transformation was a challenge in both space optimization and aesthetic balance. Originally a very small and limited area, our goal was to reimagine it into a warm, functional, and stylish shared bedroom for two teenage girls. Dual functionality: We managed to incorporate two comfortable single beds, a dedicated make-up and grooming area, and a cozy reading corner, ensuring each girl has her own personalized zone.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project is a testament to how small spaces can be transformed into beautiful, multifunctional environments with the right design approach.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