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Contrast &amp; Cohesion Interior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widowControl w:val="0"/>
        <w:rPr/>
      </w:pPr>
      <w:r w:rsidDel="00000000" w:rsidR="00000000" w:rsidRPr="00000000">
        <w:rPr>
          <w:b w:val="1"/>
          <w:bCs w:val="1"/>
          <w:rtl w:val="0"/>
        </w:rPr>
        <w:t xml:space="preserve">Site size:</w:t>
      </w:r>
      <w:r w:rsidDel="00000000" w:rsidR="00000000" w:rsidRPr="00000000">
        <w:rPr>
          <w:rtl w:val="0"/>
        </w:rPr>
        <w:t xml:space="preserve"> 45 sqm</w:t>
      </w:r>
    </w:p>
    <w:p w:rsidR="00000000" w:rsidDel="00000000" w:rsidP="00000000" w:rsidRDefault="00000000" w:rsidRPr="00000000" w14:paraId="00000004">
      <w:pPr>
        <w:widowControl w:val="0"/>
        <w:rPr/>
      </w:pPr>
      <w:r w:rsidDel="00000000" w:rsidR="00000000" w:rsidRPr="00000000">
        <w:rPr>
          <w:b w:val="1"/>
          <w:bCs w:val="1"/>
          <w:rtl w:val="0"/>
        </w:rPr>
        <w:t xml:space="preserve">Location:</w:t>
      </w:r>
      <w:r w:rsidDel="00000000" w:rsidR="00000000" w:rsidRPr="00000000">
        <w:rPr>
          <w:rtl w:val="0"/>
        </w:rPr>
        <w:t xml:space="preserve"> Skopje, N.Macedonia</w:t>
      </w:r>
    </w:p>
    <w:p w:rsidR="00000000" w:rsidDel="00000000" w:rsidP="00000000" w:rsidRDefault="00000000" w:rsidRPr="00000000" w14:paraId="00000005">
      <w:pPr>
        <w:widowControl w:val="0"/>
        <w:rPr/>
      </w:pPr>
      <w:r w:rsidDel="00000000" w:rsidR="00000000" w:rsidRPr="00000000">
        <w:rPr>
          <w:b w:val="1"/>
          <w:bCs w:val="1"/>
          <w:rtl w:val="0"/>
        </w:rPr>
        <w:t xml:space="preserve">Year:</w:t>
      </w:r>
      <w:r w:rsidDel="00000000" w:rsidR="00000000" w:rsidRPr="00000000">
        <w:rPr>
          <w:rtl w:val="0"/>
        </w:rPr>
        <w:t xml:space="preserve"> 2022</w:t>
      </w:r>
    </w:p>
    <w:p w:rsidR="00000000" w:rsidDel="00000000" w:rsidP="00000000" w:rsidRDefault="00000000" w:rsidRPr="00000000" w14:paraId="00000006">
      <w:pPr>
        <w:widowControl w:val="0"/>
        <w:rPr/>
      </w:pPr>
      <w:r w:rsidDel="00000000" w:rsidR="00000000" w:rsidRPr="00000000">
        <w:rPr>
          <w:b w:val="1"/>
          <w:bCs w:val="1"/>
          <w:rtl w:val="0"/>
        </w:rPr>
        <w:t xml:space="preserve">Category</w:t>
      </w:r>
      <w:r w:rsidDel="00000000" w:rsidR="00000000" w:rsidRPr="00000000">
        <w:rPr>
          <w:rtl w:val="0"/>
        </w:rPr>
        <w:t xml:space="preserve">: Residential</w:t>
      </w:r>
    </w:p>
    <w:p w:rsidR="00000000" w:rsidDel="00000000" w:rsidP="00000000" w:rsidRDefault="00000000" w:rsidRPr="00000000" w14:paraId="00000007">
      <w:pPr>
        <w:widowControl w:val="0"/>
        <w:rPr/>
      </w:pPr>
      <w:r w:rsidDel="00000000" w:rsidR="00000000" w:rsidRPr="00000000">
        <w:rPr>
          <w:rtl w:val="0"/>
        </w:rPr>
      </w:r>
    </w:p>
    <w:p w:rsidR="00000000" w:rsidDel="00000000" w:rsidP="00000000" w:rsidRDefault="00000000" w:rsidRPr="00000000" w14:paraId="00000008">
      <w:pPr>
        <w:widowControl w:val="0"/>
        <w:rPr/>
      </w:pPr>
      <w:r w:rsidDel="00000000" w:rsidR="00000000" w:rsidRPr="00000000">
        <w:rPr>
          <w:b w:val="1"/>
          <w:bCs w:val="1"/>
          <w:rtl w:val="0"/>
        </w:rPr>
        <w:t xml:space="preserve">Project description:</w:t>
      </w:r>
      <w:r w:rsidDel="00000000" w:rsidR="00000000" w:rsidRPr="00000000">
        <w:rPr>
          <w:rtl w:val="0"/>
        </w:rPr>
      </w:r>
    </w:p>
    <w:p w:rsidR="00000000" w:rsidDel="00000000" w:rsidP="00000000" w:rsidRDefault="00000000" w:rsidRPr="00000000" w14:paraId="00000009">
      <w:pPr>
        <w:widowControl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request of the customers, I made a design in order to help them in their choice of design for their living room and dining area. The design should show a more serious character and modern elements that are translated into the choice of furniture material, color and wall decoration in the dining room.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pepita pattern and the black leather of the armchairs, in combination with the brown leather of the sofa, gives a perfectly matched contrast that at the same time gives a serious character to the space. In addition, the dining room is in cohesion with the living room and in this space you can notice the artistic notes that have been achieved with the wall art and the mirror.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