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86584"/>
          <w:sz w:val="44"/>
        </w:rPr>
        <w:t>Silicon Sampling – Wichtigste Erkenntnisse</w:t>
      </w:r>
    </w:p>
    <w:p>
      <w:r>
        <w:rPr>
          <w:b/>
        </w:rPr>
        <w:t>Zielgruppe:</w:t>
      </w:r>
      <w:r>
        <w:t xml:space="preserve"> Gesundheits- und Wellness-Experten als Einzelunternehmer (AT/DE/CH)</w:t>
      </w:r>
    </w:p>
    <w:p>
      <w:r>
        <w:rPr>
          <w:b/>
        </w:rPr>
        <w:t>Methode:</w:t>
      </w:r>
      <w:r>
        <w:t xml:space="preserve"> 200 KI-Personas, 3-phasige Blind-Interviews (Schmerzen → Angebotsreaktion → Preisbereitschaft)</w:t>
      </w:r>
    </w:p>
    <w:p>
      <w:r>
        <w:rPr>
          <w:b/>
        </w:rPr>
        <w:t>Datum:</w:t>
      </w:r>
      <w:r>
        <w:t xml:space="preserve"> 21. Juni 2026 | </w:t>
      </w:r>
      <w:r>
        <w:rPr>
          <w:b/>
        </w:rPr>
        <w:t>Modell:</w:t>
      </w:r>
      <w:r>
        <w:t xml:space="preserve"> claude-sonnet-4-6 | </w:t>
      </w:r>
      <w:r>
        <w:rPr>
          <w:b/>
        </w:rPr>
        <w:t>Seed:</w:t>
      </w:r>
      <w:r>
        <w:t xml:space="preserve"> 42</w:t>
      </w:r>
    </w:p>
    <w:p/>
    <w:p>
      <w:pPr>
        <w:ind w:left="432"/>
      </w:pPr>
      <w:r>
        <w:rPr>
          <w:i/>
          <w:color w:val="5B6572"/>
        </w:rPr>
        <w:t xml:space="preserve">⚠️ </w:t>
      </w:r>
      <w:r>
        <w:rPr>
          <w:b/>
          <w:i/>
          <w:color w:val="5B6572"/>
        </w:rPr>
        <w:t>ESOMAR ICC Code 2025:</w:t>
      </w:r>
      <w:r>
        <w:rPr>
          <w:i/>
          <w:color w:val="5B6572"/>
        </w:rPr>
        <w:t xml:space="preserve"> Alle Ergebnisse sind synthetische Hypothesen, keine empirisch verifizierten Fakten. Für strategische Entscheidungen wird Validierung durch 8–12 echte Interviews empfohlen.</w:t>
      </w:r>
    </w:p>
    <w:p/>
    <w:p/>
    <w:p>
      <w:r>
        <w:rPr>
          <w:b/>
          <w:color w:val="086584"/>
          <w:sz w:val="32"/>
        </w:rPr>
        <w:t>Das Wichtigste in Kürze</w:t>
      </w:r>
    </w:p>
    <w:p/>
    <w:p>
      <w:pPr>
        <w:pStyle w:val="ListNumber"/>
      </w:pPr>
      <w:r>
        <w:rPr>
          <w:b/>
        </w:rPr>
        <w:t>Der Schmerz ist universell und konkret:</w:t>
      </w:r>
      <w:r>
        <w:t xml:space="preserve"> 100% nennen Administration/Bürokratie als Problem – in nahezu identischer Sprache: </w:t>
      </w:r>
      <w:r>
        <w:rPr>
          <w:i/>
        </w:rPr>
        <w:t>„Die Verwaltung frisst mich lebendig."</w:t>
      </w:r>
    </w:p>
    <w:p>
      <w:pPr>
        <w:pStyle w:val="ListNumber"/>
      </w:pPr>
      <w:r>
        <w:rPr>
          <w:b/>
        </w:rPr>
        <w:t>KI als Wort schreckt ab:</w:t>
      </w:r>
      <w:r>
        <w:t xml:space="preserve"> Das abstrakte Framing „KI- und Automatisierungs-Systeme einrichten" führt zu einer Buchungsbereitschaft von 1,1/10 – trotz echtem Schmerz.</w:t>
      </w:r>
    </w:p>
    <w:p>
      <w:pPr>
        <w:pStyle w:val="ListNumber"/>
      </w:pPr>
      <w:r>
        <w:rPr>
          <w:b/>
        </w:rPr>
        <w:t>Datenschutz ist kein Nice-to-have:</w:t>
      </w:r>
      <w:r>
        <w:t xml:space="preserve"> 100% nennen Datenschutz/Vertrauen als Einwand. Im Gesundheitsbereich ist DSGVO Art. 9 nicht abstrakt – es ist Berufsrealität. Compliance muss man zeigen, nicht behaupten.</w:t>
      </w:r>
    </w:p>
    <w:p>
      <w:pPr>
        <w:pStyle w:val="ListNumber"/>
      </w:pPr>
      <w:r>
        <w:rPr>
          <w:b/>
        </w:rPr>
        <w:t>Preisbereitschaft liegt unter internem Ziel:</w:t>
      </w:r>
      <w:r>
        <w:t xml:space="preserve"> Retainer-Akzeptanz liegt bei Median €150/Monat (internes Ziel: €300–1.200). Einrichtungs-Projekt: akzeptabler Bereich €300–1.500.</w:t>
      </w:r>
    </w:p>
    <w:p>
      <w:pPr>
        <w:pStyle w:val="ListNumber"/>
      </w:pPr>
      <w:r>
        <w:rPr>
          <w:b/>
        </w:rPr>
        <w:t>Die kostenlose Erstanalyse funktioniert als Türöffner</w:t>
      </w:r>
      <w:r>
        <w:t xml:space="preserve"> – aber nur wenn sie als echter Wert positioniert ist, nicht als Sales-Call.</w:t>
      </w:r>
    </w:p>
    <w:p/>
    <w:p/>
    <w:p>
      <w:r>
        <w:rPr>
          <w:b/>
          <w:color w:val="086584"/>
          <w:sz w:val="32"/>
        </w:rPr>
        <w:t>1. Pain Points – Rangliste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Nennungen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Administration &amp; Bürokratie</w:t>
            </w:r>
          </w:p>
        </w:tc>
        <w:tc>
          <w:tcPr>
            <w:tcW w:type="dxa" w:w="2160"/>
          </w:tcPr>
          <w:p>
            <w:r>
              <w:t>200/200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Terminmanagement</w:t>
            </w:r>
          </w:p>
        </w:tc>
        <w:tc>
          <w:tcPr>
            <w:tcW w:type="dxa" w:w="2160"/>
          </w:tcPr>
          <w:p>
            <w:r>
              <w:t>185/200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E-Mail &amp; Kommunikation</w:t>
            </w:r>
          </w:p>
        </w:tc>
        <w:tc>
          <w:tcPr>
            <w:tcW w:type="dxa" w:w="2160"/>
          </w:tcPr>
          <w:p>
            <w:r>
              <w:t>178/200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Zeitdruck &amp; Überlastung</w:t>
            </w:r>
          </w:p>
        </w:tc>
        <w:tc>
          <w:tcPr>
            <w:tcW w:type="dxa" w:w="2160"/>
          </w:tcPr>
          <w:p>
            <w:r>
              <w:t>174/200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Nachverfolgung &amp; Follow-up</w:t>
            </w:r>
          </w:p>
        </w:tc>
        <w:tc>
          <w:tcPr>
            <w:tcW w:type="dxa" w:w="2160"/>
          </w:tcPr>
          <w:p>
            <w:r>
              <w:t>151/200</w:t>
            </w:r>
          </w:p>
        </w:tc>
        <w:tc>
          <w:tcPr>
            <w:tcW w:type="dxa" w:w="2160"/>
          </w:tcPr>
          <w:p>
            <w:r>
              <w:t>76%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Einsamkeit &amp; fehlende Struktur</w:t>
            </w:r>
          </w:p>
        </w:tc>
        <w:tc>
          <w:tcPr>
            <w:tcW w:type="dxa" w:w="2160"/>
          </w:tcPr>
          <w:p>
            <w:r>
              <w:t>150/200</w:t>
            </w:r>
          </w:p>
        </w:tc>
        <w:tc>
          <w:tcPr>
            <w:tcW w:type="dxa" w:w="2160"/>
          </w:tcPr>
          <w:p>
            <w:r>
              <w:t>75%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Digitalisierung &amp; Tools</w:t>
            </w:r>
          </w:p>
        </w:tc>
        <w:tc>
          <w:tcPr>
            <w:tcW w:type="dxa" w:w="2160"/>
          </w:tcPr>
          <w:p>
            <w:r>
              <w:t>132/200</w:t>
            </w:r>
          </w:p>
        </w:tc>
        <w:tc>
          <w:tcPr>
            <w:tcW w:type="dxa" w:w="2160"/>
          </w:tcPr>
          <w:p>
            <w:r>
              <w:t>66%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Kundengewinnung &amp; Marketing</w:t>
            </w:r>
          </w:p>
        </w:tc>
        <w:tc>
          <w:tcPr>
            <w:tcW w:type="dxa" w:w="2160"/>
          </w:tcPr>
          <w:p>
            <w:r>
              <w:t>82/200</w:t>
            </w:r>
          </w:p>
        </w:tc>
        <w:tc>
          <w:tcPr>
            <w:tcW w:type="dxa" w:w="2160"/>
          </w:tcPr>
          <w:p>
            <w:r>
              <w:t>41%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Datenschutz &amp; DSGVO</w:t>
            </w:r>
          </w:p>
        </w:tc>
        <w:tc>
          <w:tcPr>
            <w:tcW w:type="dxa" w:w="2160"/>
          </w:tcPr>
          <w:p>
            <w:r>
              <w:t>73/200</w:t>
            </w:r>
          </w:p>
        </w:tc>
        <w:tc>
          <w:tcPr>
            <w:tcW w:type="dxa" w:w="2160"/>
          </w:tcPr>
          <w:p>
            <w:r>
              <w:t>36%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Wachstum &amp; Skalierung</w:t>
            </w:r>
          </w:p>
        </w:tc>
        <w:tc>
          <w:tcPr>
            <w:tcW w:type="dxa" w:w="2160"/>
          </w:tcPr>
          <w:p>
            <w:r>
              <w:t>61/200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/>
    <w:p/>
    <w:p>
      <w:r>
        <w:rPr>
          <w:b/>
        </w:rPr>
        <w:t>Kernbefund:</w:t>
      </w:r>
      <w:r>
        <w:t xml:space="preserve"> Die Top-4 Schmerzen sind alle operativ-administrativ. Marketing und Wachstum sind nachrangig. Das heißt: mit dem Positionierungsversprechen </w:t>
      </w:r>
      <w:r>
        <w:rPr>
          <w:i/>
        </w:rPr>
        <w:t>„weniger Chaos, mehr Zeit für echte Arbeit"</w:t>
      </w:r>
      <w:r>
        <w:t xml:space="preserve"> treffen wir den Kern – nicht mit </w:t>
      </w:r>
      <w:r>
        <w:rPr>
          <w:i/>
        </w:rPr>
        <w:t>„mehr Kunden, mehr Umsatz".</w:t>
      </w:r>
    </w:p>
    <w:p/>
    <w:p/>
    <w:p>
      <w:r>
        <w:rPr>
          <w:b/>
          <w:color w:val="086584"/>
          <w:sz w:val="32"/>
        </w:rPr>
        <w:t>2. O-Töne – Sprache der Zielgruppe</w:t>
      </w:r>
    </w:p>
    <w:p/>
    <w:p>
      <w:r>
        <w:t>Diese Formulierungen entstanden, bevor das Angebot genannt wurde (Phase 1, blind). Sie sind die authentischste Sprache für Website-Copy:</w:t>
      </w:r>
    </w:p>
    <w:p/>
    <w:p>
      <w:r>
        <w:rPr>
          <w:b/>
          <w:color w:val="5FA2A0"/>
          <w:sz w:val="26"/>
        </w:rPr>
        <w:t>Über den Alltag</w:t>
      </w:r>
    </w:p>
    <w:p>
      <w:pPr>
        <w:ind w:left="432"/>
      </w:pPr>
      <w:r>
        <w:rPr>
          <w:i/>
          <w:color w:val="5B6572"/>
        </w:rPr>
        <w:t>„Die Verwaltung frisst mich lebendig."</w:t>
      </w:r>
    </w:p>
    <w:p/>
    <w:p>
      <w:pPr>
        <w:ind w:left="432"/>
      </w:pPr>
      <w:r>
        <w:rPr>
          <w:i/>
          <w:color w:val="5B6572"/>
        </w:rPr>
        <w:t>„Anfragen beantworten, Termine abstimmen, Rechnungen schreiben, nochmal nachfragen weil jemand nicht geantwortet hat – das frisst mich auf."</w:t>
      </w:r>
    </w:p>
    <w:p/>
    <w:p>
      <w:pPr>
        <w:ind w:left="432"/>
      </w:pPr>
      <w:r>
        <w:rPr>
          <w:i/>
          <w:color w:val="5B6572"/>
        </w:rPr>
        <w:t>„Rechnungen schreiben, Mails beantworten, die nie enden, Terminkoordination hin und her – das frisst mich auf."</w:t>
      </w:r>
    </w:p>
    <w:p/>
    <w:p>
      <w:pPr>
        <w:ind w:left="432"/>
      </w:pPr>
      <w:r>
        <w:rPr>
          <w:i/>
          <w:color w:val="5B6572"/>
        </w:rPr>
        <w:t>„Ich sitze manchmal eine Stunde vor dem Computer nur für Kram, der eigentlich nichts mit meiner eigentlichen Arbeit zu tun hat."</w:t>
      </w:r>
    </w:p>
    <w:p/>
    <w:p>
      <w:pPr>
        <w:ind w:left="432"/>
      </w:pPr>
      <w:r>
        <w:rPr>
          <w:i/>
          <w:color w:val="5B6572"/>
        </w:rPr>
        <w:t>„Jedes Quartal ist dasselbe Theater – ich schiebe es vor mir her, dann sitze ich ewig dran und ärgere mich, wie viel Zeit das wegfrisst."</w:t>
      </w:r>
    </w:p>
    <w:p/>
    <w:p>
      <w:r>
        <w:rPr>
          <w:b/>
          <w:color w:val="5FA2A0"/>
          <w:sz w:val="26"/>
        </w:rPr>
        <w:t>Über die Zukunftsangst</w:t>
      </w:r>
    </w:p>
    <w:p>
      <w:pPr>
        <w:ind w:left="432"/>
      </w:pPr>
      <w:r>
        <w:rPr>
          <w:i/>
          <w:color w:val="5B6572"/>
        </w:rPr>
        <w:t>„Ehrlich gesagt habe ich Angst, dass ich in drei Jahren noch genau gleich dastehe – gleicher Umsatz, gleiche Belastung, alleine."</w:t>
      </w:r>
    </w:p>
    <w:p/>
    <w:p>
      <w:pPr>
        <w:ind w:left="432"/>
      </w:pPr>
      <w:r>
        <w:rPr>
          <w:i/>
          <w:color w:val="5B6572"/>
        </w:rPr>
        <w:t>„Dass ich irgendwann nicht mehr die Energie habe, alles alleine zu stemmen – und dann merke, dass ich keine Strukturen aufgebaut habe, die mir das erleichtern."</w:t>
      </w:r>
    </w:p>
    <w:p/>
    <w:p>
      <w:pPr>
        <w:ind w:left="432"/>
      </w:pPr>
      <w:r>
        <w:rPr>
          <w:i/>
          <w:color w:val="5B6572"/>
        </w:rPr>
        <w:t>„Ich will wachsen, aber ich sehe ehrlich gesagt nicht, wie das ohne Hilfe funktionieren soll – und Angestellte will und kann ich mir nicht leisten."</w:t>
      </w:r>
    </w:p>
    <w:p/>
    <w:p>
      <w:r>
        <w:rPr>
          <w:b/>
          <w:color w:val="5FA2A0"/>
          <w:sz w:val="26"/>
        </w:rPr>
        <w:t>Was sie sich wünschen</w:t>
      </w:r>
    </w:p>
    <w:p>
      <w:pPr>
        <w:ind w:left="432"/>
      </w:pPr>
      <w:r>
        <w:rPr>
          <w:i/>
          <w:color w:val="5B6572"/>
        </w:rPr>
        <w:t>„Mehr Struktur, ohne dass ich selbst alles aufbauen muss."</w:t>
      </w:r>
    </w:p>
    <w:p/>
    <w:p>
      <w:pPr>
        <w:ind w:left="432"/>
      </w:pPr>
      <w:r>
        <w:rPr>
          <w:i/>
          <w:color w:val="5B6572"/>
        </w:rPr>
        <w:t>„Ein System, das mir die Verwaltung abnimmt – ohne dass ich wochenlang in irgendwelche Tools einarbeiten muss, die am Ende doch nicht funktionieren wie versprochen."</w:t>
      </w:r>
    </w:p>
    <w:p/>
    <w:p>
      <w:pPr>
        <w:ind w:left="432"/>
      </w:pPr>
      <w:r>
        <w:rPr>
          <w:i/>
          <w:color w:val="5B6572"/>
        </w:rPr>
        <w:t>„Nicht mehr Klienten, nicht mehr Wachstum um jeden Preis, sondern einfach: gleiche Einnahmen, mehr Luft zum Atmen."</w:t>
      </w:r>
    </w:p>
    <w:p/>
    <w:p>
      <w:pPr>
        <w:ind w:left="432"/>
      </w:pPr>
      <w:r>
        <w:rPr>
          <w:i/>
          <w:color w:val="5B6572"/>
        </w:rPr>
        <w:t>„Dass ich Freitagnachmittag abschalten kann, ohne das schlechte Gewissen, dass noch drei Rechnungen offen sind oder jemand auf eine Antwort wartet."</w:t>
      </w:r>
    </w:p>
    <w:p/>
    <w:p>
      <w:r>
        <w:rPr>
          <w:b/>
          <w:color w:val="5FA2A0"/>
          <w:sz w:val="26"/>
        </w:rPr>
        <w:t>Über Datenschutz</w:t>
      </w:r>
    </w:p>
    <w:p>
      <w:pPr>
        <w:ind w:left="432"/>
      </w:pPr>
      <w:r>
        <w:rPr>
          <w:i/>
          <w:color w:val="5B6572"/>
        </w:rPr>
        <w:t>„Das Wort 'datenschutzkonform' klingt für mich wie eine Beruhigungspille – die man nur braucht, weil das Zeug grundsätzlich ein Datenschutzproblem hat."</w:t>
      </w:r>
    </w:p>
    <w:p/>
    <w:p>
      <w:pPr>
        <w:ind w:left="432"/>
      </w:pPr>
      <w:r>
        <w:rPr>
          <w:i/>
          <w:color w:val="5B6572"/>
        </w:rPr>
        <w:t>„Ich arbeite mit sensiblen Gesundheitsdaten – da kann ich nicht einfach irgendein System einschleusen, das irgendwo in einer amerikanischen Cloud läuft."</w:t>
      </w:r>
    </w:p>
    <w:p/>
    <w:p>
      <w:pPr>
        <w:ind w:left="432"/>
      </w:pPr>
      <w:r>
        <w:rPr>
          <w:i/>
          <w:color w:val="5B6572"/>
        </w:rPr>
        <w:t>„Ich wünsche mir jemanden – oder irgendetwas – das mir den Rücken freihält, ohne dass ich dabei die Kontrolle über meine Daten und meine Klientenbeziehungen abgeben muss."</w:t>
      </w:r>
    </w:p>
    <w:p/>
    <w:p/>
    <w:p>
      <w:r>
        <w:rPr>
          <w:b/>
          <w:color w:val="086584"/>
          <w:sz w:val="32"/>
        </w:rPr>
        <w:t>3. Reaktion auf das Angebot (Phase 2)</w:t>
      </w:r>
    </w:p>
    <w:p/>
    <w:p>
      <w:r>
        <w:rPr>
          <w:b/>
        </w:rPr>
        <w:t>Buchungsbereitschaft (Erstanalyse): 1,1/10</w:t>
      </w:r>
      <w:r>
        <w:t xml:space="preserve"> — 98% vergeben 1/10.</w:t>
      </w:r>
    </w:p>
    <w:p/>
    <w:p>
      <w:r>
        <w:t xml:space="preserve">Das Angebot in Phase 2 war formuliert als </w:t>
      </w:r>
      <w:r>
        <w:rPr>
          <w:i/>
        </w:rPr>
        <w:t>„KI- und Automatisierungs-Systeme datenschutzkonform einrichten"</w:t>
      </w:r>
      <w:r>
        <w:t xml:space="preserve">. Die niedrige Bewertung ist </w:t>
      </w:r>
      <w:r>
        <w:rPr>
          <w:b/>
        </w:rPr>
        <w:t>kein Zeichen mangelnden Bedarfs</w:t>
      </w:r>
      <w:r>
        <w:t xml:space="preserve"> — der Bedarf ist real. Es ist ein </w:t>
      </w:r>
      <w:r>
        <w:rPr>
          <w:b/>
        </w:rPr>
        <w:t>Framing-Problem: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Einwand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Nennungen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t>Datenschutz / Vertrauen</w:t>
            </w:r>
          </w:p>
        </w:tc>
        <w:tc>
          <w:tcPr>
            <w:tcW w:type="dxa" w:w="2880"/>
          </w:tcPr>
          <w:p>
            <w:r>
              <w:t>200/200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„Funktioniert das wirklich?"</w:t>
            </w:r>
          </w:p>
        </w:tc>
        <w:tc>
          <w:tcPr>
            <w:tcW w:type="dxa" w:w="2880"/>
          </w:tcPr>
          <w:p>
            <w:r>
              <w:t>199/200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Kosten / Preis</w:t>
            </w:r>
          </w:p>
        </w:tc>
        <w:tc>
          <w:tcPr>
            <w:tcW w:type="dxa" w:w="2880"/>
          </w:tcPr>
          <w:p>
            <w:r>
              <w:t>196/200</w:t>
            </w:r>
          </w:p>
        </w:tc>
        <w:tc>
          <w:tcPr>
            <w:tcW w:type="dxa" w:w="2880"/>
          </w:tcPr>
          <w:p>
            <w:r>
              <w:t>98%</w:t>
            </w:r>
          </w:p>
        </w:tc>
      </w:tr>
      <w:tr>
        <w:tc>
          <w:tcPr>
            <w:tcW w:type="dxa" w:w="2880"/>
          </w:tcPr>
          <w:p>
            <w:r>
              <w:t>Zeitmangel für Implementierung</w:t>
            </w:r>
          </w:p>
        </w:tc>
        <w:tc>
          <w:tcPr>
            <w:tcW w:type="dxa" w:w="2880"/>
          </w:tcPr>
          <w:p>
            <w:r>
              <w:t>166/200</w:t>
            </w:r>
          </w:p>
        </w:tc>
        <w:tc>
          <w:tcPr>
            <w:tcW w:type="dxa" w:w="2880"/>
          </w:tcPr>
          <w:p>
            <w:r>
              <w:t>83%</w:t>
            </w:r>
          </w:p>
        </w:tc>
      </w:tr>
      <w:tr>
        <w:tc>
          <w:tcPr>
            <w:tcW w:type="dxa" w:w="2880"/>
          </w:tcPr>
          <w:p>
            <w:r>
              <w:t>KI-Skepsis / Abstraktion</w:t>
            </w:r>
          </w:p>
        </w:tc>
        <w:tc>
          <w:tcPr>
            <w:tcW w:type="dxa" w:w="2880"/>
          </w:tcPr>
          <w:p>
            <w:r>
              <w:t>163/200</w:t>
            </w:r>
          </w:p>
        </w:tc>
        <w:tc>
          <w:tcPr>
            <w:tcW w:type="dxa" w:w="2880"/>
          </w:tcPr>
          <w:p>
            <w:r>
              <w:t>82%</w:t>
            </w:r>
          </w:p>
        </w:tc>
      </w:tr>
    </w:tbl>
    <w:p/>
    <w:p/>
    <w:p>
      <w:r>
        <w:rPr>
          <w:b/>
        </w:rPr>
        <w:t>O-Töne zu KI-Skepsis:</w:t>
      </w:r>
    </w:p>
    <w:p>
      <w:pPr>
        <w:ind w:left="432"/>
      </w:pPr>
      <w:r>
        <w:rPr>
          <w:i/>
          <w:color w:val="5B6572"/>
        </w:rPr>
        <w:t>„KI-gestützte Systeme – das ist so ein großes Wort, das ich schon hundertmal gehört habe, ohne dass danach wirklich etwas Konkretes kam."</w:t>
      </w:r>
    </w:p>
    <w:p/>
    <w:p>
      <w:pPr>
        <w:ind w:left="432"/>
      </w:pPr>
      <w:r>
        <w:rPr>
          <w:i/>
          <w:color w:val="5B6572"/>
        </w:rPr>
        <w:t>„Aber 'KI-Systeme einrichten' klingt für mich nach viel Aufwand, viel Technik und am Ende sitze ich wieder alleine da und verstehe nicht, was da läuft."</w:t>
      </w:r>
    </w:p>
    <w:p/>
    <w:p>
      <w:pPr>
        <w:ind w:left="432"/>
      </w:pPr>
      <w:r>
        <w:rPr>
          <w:i/>
          <w:color w:val="5B6572"/>
        </w:rPr>
        <w:t>„Gleichzeitig denke ich an meine Rechnungsstellungs-Katastrophe und das Termin-Chaos, und da zuckt kurz etwas in mir."</w:t>
      </w:r>
    </w:p>
    <w:p/>
    <w:p>
      <w:r>
        <w:rPr>
          <w:b/>
        </w:rPr>
        <w:t>Konsequenz für das Messaging:</w:t>
      </w:r>
      <w:r>
        <w:t xml:space="preserve"> Das Wort „KI" erst nach dem konkreten Problem nennen. Erst der Schmerz, dann die Lösung, dann erst das Werkzeug.</w:t>
      </w:r>
    </w:p>
    <w:p/>
    <w:p/>
    <w:p>
      <w:r>
        <w:rPr>
          <w:b/>
          <w:color w:val="086584"/>
          <w:sz w:val="32"/>
        </w:rPr>
        <w:t>4. Van-Westendorp Preisanalyse</w:t>
      </w:r>
    </w:p>
    <w:p/>
    <w:p>
      <w:r>
        <w:rPr>
          <w:i/>
        </w:rPr>
        <w:t>Einrichtungs-Projekt + optionaler Retainer. Synthetische Daten, als Orientierung nutzen.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Schwelle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Median</w:t>
            </w:r>
          </w:p>
        </w:tc>
      </w:tr>
      <w:tr>
        <w:tc>
          <w:tcPr>
            <w:tcW w:type="dxa" w:w="4320"/>
          </w:tcPr>
          <w:p>
            <w:r>
              <w:t>Zu günstig (Qualitätszweifel)</w:t>
            </w:r>
          </w:p>
        </w:tc>
        <w:tc>
          <w:tcPr>
            <w:tcW w:type="dxa" w:w="4320"/>
          </w:tcPr>
          <w:p>
            <w:r>
              <w:t>€300</w:t>
            </w:r>
          </w:p>
        </w:tc>
      </w:tr>
      <w:tr>
        <w:tc>
          <w:tcPr>
            <w:tcW w:type="dxa" w:w="4320"/>
          </w:tcPr>
          <w:p>
            <w:r>
              <w:t>Gutes Angebot</w:t>
            </w:r>
          </w:p>
        </w:tc>
        <w:tc>
          <w:tcPr>
            <w:tcW w:type="dxa" w:w="4320"/>
          </w:tcPr>
          <w:p>
            <w:r>
              <w:t>€300</w:t>
            </w:r>
          </w:p>
        </w:tc>
      </w:tr>
      <w:tr>
        <w:tc>
          <w:tcPr>
            <w:tcW w:type="dxa" w:w="4320"/>
          </w:tcPr>
          <w:p>
            <w:r>
              <w:t>Teuer, aber akzeptabel</w:t>
            </w:r>
          </w:p>
        </w:tc>
        <w:tc>
          <w:tcPr>
            <w:tcW w:type="dxa" w:w="4320"/>
          </w:tcPr>
          <w:p>
            <w:r>
              <w:t>€1.500</w:t>
            </w:r>
          </w:p>
        </w:tc>
      </w:tr>
      <w:tr>
        <w:tc>
          <w:tcPr>
            <w:tcW w:type="dxa" w:w="4320"/>
          </w:tcPr>
          <w:p>
            <w:r>
              <w:t>Zu teuer / Kaufabbruch</w:t>
            </w:r>
          </w:p>
        </w:tc>
        <w:tc>
          <w:tcPr>
            <w:tcW w:type="dxa" w:w="4320"/>
          </w:tcPr>
          <w:p>
            <w:r>
              <w:t>€2.000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Fairer monatlicher Retainer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€150</w:t>
            </w:r>
          </w:p>
        </w:tc>
      </w:tr>
    </w:tbl>
    <w:p/>
    <w:p/>
    <w:p>
      <w:r>
        <w:rPr>
          <w:b/>
        </w:rPr>
        <w:t>Akzeptabler Preisbereich Einrichtungs-Projekt:</w:t>
      </w:r>
      <w:r>
        <w:t xml:space="preserve"> €300 – €1.500</w:t>
      </w:r>
    </w:p>
    <w:p/>
    <w:p>
      <w:r>
        <w:rPr>
          <w:b/>
        </w:rPr>
        <w:t>Strategische Konsequenz:</w:t>
      </w:r>
    </w:p>
    <w:p>
      <w:pPr>
        <w:pStyle w:val="ListBullet"/>
        <w:ind w:left="360"/>
      </w:pPr>
      <w:r>
        <w:t>Der interne Retainer-Zielpreis (€300–1.200/Monat) liegt deutlich über der synthetischen Akzeptanzschwelle (Median €150). Das ist keine Überraschung: Einzelunternehmer mit €75–90k Jahresumsatz haben knappes Cashflow-Bewusstsein.</w:t>
      </w:r>
    </w:p>
    <w:p>
      <w:pPr>
        <w:pStyle w:val="ListBullet"/>
        <w:ind w:left="360"/>
      </w:pPr>
      <w:r>
        <w:rPr>
          <w:b/>
        </w:rPr>
        <w:t>Empfehlung:</w:t>
      </w:r>
      <w:r>
        <w:t xml:space="preserve"> Retainer kleiner und klarer positionieren (z.B. €150–250 „Wartung &amp; Optimierung") statt als vollwertigen Betreuungsvertrag. Alternativ: Retainer erst nach 3 Monaten anbieten, wenn der Wert erlebt wurde.</w:t>
      </w:r>
    </w:p>
    <w:p>
      <w:pPr>
        <w:pStyle w:val="ListBullet"/>
        <w:ind w:left="360"/>
      </w:pPr>
      <w:r>
        <w:t>Einrichtungs-Projekt bis €1.500 ist akzeptabel — bei klarer Nutzendemonstration.</w:t>
      </w:r>
    </w:p>
    <w:p/>
    <w:p/>
    <w:p>
      <w:r>
        <w:rPr>
          <w:b/>
          <w:color w:val="086584"/>
          <w:sz w:val="32"/>
        </w:rPr>
        <w:t>5. Segmente – kein relevanter Unterschied</w:t>
      </w:r>
    </w:p>
    <w:p/>
    <w:p>
      <w:r>
        <w:t>Alle Branchen (Ernährungsberatung, Physiotherapie, Personal Training, BGF/Prävention, Longevity) zeigen identische Schmerzpunkte und VW-Werte. Die Sprache variiert leicht (Physiotherapeuten sagen „Klienten", Personal Trainer „Kunden") — die Kernprobleme sind deckungsgleich.</w:t>
      </w:r>
    </w:p>
    <w:p/>
    <w:p>
      <w:r>
        <w:t>Schweizer Personas zeigen minimal höhere Buchungsbereitschaft (1,2 vs. 1,0) — vermutlich Preistoleranz, nicht mehr Interesse.</w:t>
      </w:r>
    </w:p>
    <w:p/>
    <w:p/>
    <w:p>
      <w:r>
        <w:rPr>
          <w:b/>
          <w:color w:val="086584"/>
          <w:sz w:val="32"/>
        </w:rPr>
        <w:t>6. Implikationen für Positionierung &amp; Angebot</w:t>
      </w:r>
    </w:p>
    <w:p/>
    <w:p>
      <w:r>
        <w:rPr>
          <w:b/>
          <w:color w:val="5FA2A0"/>
          <w:sz w:val="26"/>
        </w:rPr>
        <w:t>Was funktioniert</w:t>
      </w:r>
    </w:p>
    <w:p>
      <w:pPr>
        <w:pStyle w:val="ListBullet"/>
        <w:ind w:left="360"/>
      </w:pPr>
      <w:r>
        <w:rPr>
          <w:b/>
        </w:rPr>
        <w:t>Konkreter Nutzen zuerst:</w:t>
      </w:r>
      <w:r>
        <w:t xml:space="preserve"> „Ich richte Ihr Terminbuch, Ihre Rechnungsstellung und Ihre E-Mail-Antworten so ein, dass das System läuft — Sie müssen nur noch die Entscheidungen treffen."</w:t>
      </w:r>
    </w:p>
    <w:p>
      <w:pPr>
        <w:pStyle w:val="ListBullet"/>
        <w:ind w:left="360"/>
      </w:pPr>
      <w:r>
        <w:rPr>
          <w:b/>
        </w:rPr>
        <w:t>Datenschutz zeigen:</w:t>
      </w:r>
      <w:r>
        <w:t xml:space="preserve"> Keine Cloud-Tools ohne DSGVO-Prüfung, On-Premise wo möglich, Berufsgeheimnis explizit ansprechen. TÜV-Siegel und EU AI Act Art. 4 Kompetenz sichtbar machen.</w:t>
      </w:r>
    </w:p>
    <w:p>
      <w:pPr>
        <w:pStyle w:val="ListBullet"/>
        <w:ind w:left="360"/>
      </w:pPr>
      <w:r>
        <w:rPr>
          <w:b/>
        </w:rPr>
        <w:t>Einarbeitung abnehmen:</w:t>
      </w:r>
      <w:r>
        <w:t xml:space="preserve"> Versprechen, dass die Einrichtung bei Leonie liegt — nicht beim Kunden.</w:t>
      </w:r>
    </w:p>
    <w:p>
      <w:pPr>
        <w:pStyle w:val="ListBullet"/>
        <w:ind w:left="360"/>
      </w:pPr>
      <w:r>
        <w:rPr>
          <w:b/>
        </w:rPr>
        <w:t>Kostenlose Erstanalyse als Wert:</w:t>
      </w:r>
      <w:r>
        <w:t xml:space="preserve"> Nicht als „Kennenlernen" framen, sondern als: „Sie bekommen einen persönlichen Fahrplan, was in Ihrem Business Sinn macht."</w:t>
      </w:r>
    </w:p>
    <w:p/>
    <w:p>
      <w:r>
        <w:rPr>
          <w:b/>
          <w:color w:val="5FA2A0"/>
          <w:sz w:val="26"/>
        </w:rPr>
        <w:t>Was nicht funktioniert</w:t>
      </w:r>
    </w:p>
    <w:p>
      <w:pPr>
        <w:pStyle w:val="ListBullet"/>
        <w:ind w:left="360"/>
      </w:pPr>
      <w:r>
        <w:t>KI als Einstieg ohne konkreten Schmerz-Kontext</w:t>
      </w:r>
    </w:p>
    <w:p>
      <w:pPr>
        <w:pStyle w:val="ListBullet"/>
        <w:ind w:left="360"/>
      </w:pPr>
      <w:r>
        <w:t>„Datenschutzkonform" als leeres Adjektiv</w:t>
      </w:r>
    </w:p>
    <w:p>
      <w:pPr>
        <w:pStyle w:val="ListBullet"/>
        <w:ind w:left="360"/>
      </w:pPr>
      <w:r>
        <w:t>Retainer-Preise über €200 ohne vorangegangenen Wertnachweis</w:t>
      </w:r>
    </w:p>
    <w:p>
      <w:pPr>
        <w:pStyle w:val="ListBullet"/>
        <w:ind w:left="360"/>
      </w:pPr>
      <w:r>
        <w:t>Versprechen von Wachstum und mehr Umsatz (das ist nicht der primäre Wunsch)</w:t>
      </w:r>
    </w:p>
    <w:p/>
    <w:p/>
    <w:p>
      <w:r>
        <w:rPr>
          <w:i/>
        </w:rPr>
        <w:t>Rohdaten: `silicon_sampling_20260621_095212.json` / `.csv` (lokal, nicht im Repo)</w:t>
      </w:r>
    </w:p>
    <w:p>
      <w:r>
        <w:rPr>
          <w:i/>
        </w:rPr>
        <w:t>Analyse-Skript: `/home/user/silicon-sampling/analyse.py`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22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